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Selected Vulnerabilities Report</w:t>
      </w:r>
    </w:p>
    <w:p>
      <w:r>
        <w:br w:type="page"/>
      </w:r>
    </w:p>
    <w:p>
      <w:pPr>
        <w:pStyle w:val="Heading1"/>
        <w:jc w:val="center"/>
      </w:pPr>
      <w:r>
        <w:rPr>
          <w:rFonts w:ascii="Calibri" w:hAnsi="Calibri"/>
          <w:b/>
          <w:sz w:val="40"/>
        </w:rPr>
        <w:t>Executive Summary</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20"/>
            <w:shd w:fill="31473A"/>
          </w:tcPr>
          <w:p>
            <w:pPr>
              <w:jc w:val="center"/>
            </w:pPr>
            <w:r>
              <w:rPr>
                <w:b/>
                <w:color w:val="EDF4F2"/>
                <w:sz w:val="22"/>
              </w:rPr>
              <w:t xml:space="preserve">S. No </w:t>
            </w:r>
          </w:p>
        </w:tc>
        <w:tc>
          <w:tcPr>
            <w:tcW w:type="dxa" w:w="2160"/>
            <w:shd w:fill="31473A"/>
          </w:tcPr>
          <w:p>
            <w:pPr>
              <w:jc w:val="center"/>
            </w:pPr>
            <w:r>
              <w:rPr>
                <w:b/>
                <w:color w:val="EDF4F2"/>
                <w:sz w:val="22"/>
              </w:rPr>
              <w:t>Affected Asset i.e. IP/URL/Application etc</w:t>
            </w:r>
          </w:p>
        </w:tc>
        <w:tc>
          <w:tcPr>
            <w:tcW w:type="dxa" w:w="2880"/>
            <w:shd w:fill="31473A"/>
          </w:tcPr>
          <w:p>
            <w:pPr>
              <w:jc w:val="center"/>
            </w:pPr>
            <w:r>
              <w:rPr>
                <w:b/>
                <w:color w:val="EDF4F2"/>
                <w:sz w:val="22"/>
              </w:rPr>
              <w:t>Observation/ Vulnerability title</w:t>
            </w:r>
          </w:p>
        </w:tc>
        <w:tc>
          <w:tcPr>
            <w:tcW w:type="dxa" w:w="1440"/>
            <w:shd w:fill="31473A"/>
          </w:tcPr>
          <w:p>
            <w:pPr>
              <w:jc w:val="center"/>
            </w:pPr>
            <w:r>
              <w:rPr>
                <w:b/>
                <w:color w:val="EDF4F2"/>
                <w:sz w:val="22"/>
              </w:rPr>
              <w:t xml:space="preserve">CVE/CWE </w:t>
            </w:r>
          </w:p>
        </w:tc>
        <w:tc>
          <w:tcPr>
            <w:tcW w:type="dxa" w:w="1440"/>
            <w:shd w:fill="31473A"/>
          </w:tcPr>
          <w:p>
            <w:pPr>
              <w:jc w:val="center"/>
            </w:pPr>
            <w:r>
              <w:rPr>
                <w:b/>
                <w:color w:val="EDF4F2"/>
                <w:sz w:val="22"/>
              </w:rPr>
              <w:t>Control Objective #</w:t>
            </w:r>
          </w:p>
        </w:tc>
        <w:tc>
          <w:tcPr>
            <w:tcW w:type="dxa" w:w="1440"/>
            <w:shd w:fill="31473A"/>
          </w:tcPr>
          <w:p>
            <w:pPr>
              <w:jc w:val="center"/>
            </w:pPr>
            <w:r>
              <w:rPr>
                <w:b/>
                <w:color w:val="EDF4F2"/>
                <w:sz w:val="22"/>
              </w:rPr>
              <w:t>Control Name #</w:t>
            </w:r>
          </w:p>
        </w:tc>
        <w:tc>
          <w:tcPr>
            <w:tcW w:type="dxa" w:w="1440"/>
            <w:shd w:fill="31473A"/>
          </w:tcPr>
          <w:p>
            <w:pPr>
              <w:jc w:val="center"/>
            </w:pPr>
            <w:r>
              <w:rPr>
                <w:b/>
                <w:color w:val="EDF4F2"/>
                <w:sz w:val="22"/>
              </w:rPr>
              <w:t>Audit Requirement #</w:t>
            </w:r>
          </w:p>
        </w:tc>
        <w:tc>
          <w:tcPr>
            <w:tcW w:type="dxa" w:w="1440"/>
            <w:shd w:fill="31473A"/>
          </w:tcPr>
          <w:p>
            <w:pPr>
              <w:jc w:val="center"/>
            </w:pPr>
            <w:r>
              <w:rPr>
                <w:b/>
                <w:color w:val="EDF4F2"/>
                <w:sz w:val="22"/>
              </w:rPr>
              <w:t>Severity</w:t>
            </w:r>
          </w:p>
        </w:tc>
        <w:tc>
          <w:tcPr>
            <w:tcW w:type="dxa" w:w="2160"/>
            <w:shd w:fill="31473A"/>
          </w:tcPr>
          <w:p>
            <w:pPr>
              <w:jc w:val="center"/>
            </w:pPr>
            <w:r>
              <w:rPr>
                <w:b/>
                <w:color w:val="EDF4F2"/>
                <w:sz w:val="22"/>
              </w:rPr>
              <w:t>Recommendation</w:t>
            </w:r>
          </w:p>
        </w:tc>
        <w:tc>
          <w:tcPr>
            <w:tcW w:type="dxa" w:w="1440"/>
            <w:shd w:fill="31473A"/>
          </w:tcPr>
          <w:p>
            <w:pPr>
              <w:jc w:val="center"/>
            </w:pPr>
            <w:r>
              <w:rPr>
                <w:b/>
                <w:color w:val="EDF4F2"/>
                <w:sz w:val="22"/>
              </w:rPr>
              <w:t>Reference</w:t>
            </w:r>
          </w:p>
        </w:tc>
        <w:tc>
          <w:tcPr>
            <w:tcW w:type="dxa" w:w="1440"/>
            <w:shd w:fill="31473A"/>
          </w:tcPr>
          <w:p>
            <w:pPr>
              <w:jc w:val="center"/>
            </w:pPr>
            <w:r>
              <w:rPr>
                <w:b/>
                <w:color w:val="EDF4F2"/>
                <w:sz w:val="22"/>
              </w:rPr>
              <w:t>New or Repeat observation</w:t>
            </w:r>
          </w:p>
        </w:tc>
      </w:tr>
      <w:tr>
        <w:tc>
          <w:tcPr>
            <w:tcW w:type="dxa" w:w="720"/>
          </w:tcPr>
          <w:p>
            <w:r>
              <w:rPr>
                <w:b w:val="0"/>
                <w:sz w:val="20"/>
              </w:rPr>
              <w:t>1</w:t>
            </w:r>
          </w:p>
        </w:tc>
        <w:tc>
          <w:tcPr>
            <w:tcW w:type="dxa" w:w="2160"/>
          </w:tcPr>
          <w:p>
            <w:r>
              <w:rPr>
                <w:b w:val="0"/>
                <w:sz w:val="20"/>
              </w:rPr>
              <w:t>http://10.236.150.124:8000/questions.html</w:t>
            </w:r>
          </w:p>
        </w:tc>
        <w:tc>
          <w:tcPr>
            <w:tcW w:type="dxa" w:w="2880"/>
          </w:tcPr>
          <w:p>
            <w:r>
              <w:rPr>
                <w:b w:val="0"/>
                <w:sz w:val="20"/>
              </w:rPr>
              <w:t>Server Information Disclosure</w:t>
            </w:r>
          </w:p>
        </w:tc>
        <w:tc>
          <w:tcPr>
            <w:tcW w:type="dxa" w:w="1440"/>
          </w:tcPr>
          <w:p>
            <w:r>
              <w:rPr>
                <w:b w:val="0"/>
                <w:sz w:val="20"/>
              </w:rPr>
              <w:t>CVE-2023-29012 / CWE-200</w:t>
            </w:r>
          </w:p>
        </w:tc>
        <w:tc>
          <w:tcPr>
            <w:tcW w:type="dxa" w:w="1440"/>
          </w:tcPr>
          <w:p>
            <w:r>
              <w:rPr>
                <w:b w:val="0"/>
                <w:sz w:val="20"/>
              </w:rPr>
              <w:t>N/A</w:t>
            </w:r>
          </w:p>
        </w:tc>
        <w:tc>
          <w:tcPr>
            <w:tcW w:type="dxa" w:w="1440"/>
          </w:tcPr>
          <w:p>
            <w:r>
              <w:rPr>
                <w:b w:val="0"/>
                <w:sz w:val="20"/>
              </w:rPr>
              <w:t>N/A</w:t>
            </w:r>
          </w:p>
        </w:tc>
        <w:tc>
          <w:tcPr>
            <w:tcW w:type="dxa" w:w="1440"/>
          </w:tcPr>
          <w:p>
            <w:r>
              <w:rPr>
                <w:b w:val="0"/>
                <w:sz w:val="20"/>
              </w:rPr>
              <w:t>N/A</w:t>
            </w:r>
          </w:p>
        </w:tc>
        <w:tc>
          <w:tcPr>
            <w:tcW w:type="dxa" w:w="1440"/>
          </w:tcPr>
          <w:p>
            <w:r>
              <w:rPr>
                <w:b w:val="0"/>
                <w:sz w:val="20"/>
              </w:rPr>
              <w:t>medium</w:t>
            </w:r>
          </w:p>
        </w:tc>
        <w:tc>
          <w:tcPr>
            <w:tcW w:type="dxa" w:w="2160"/>
          </w:tcPr>
          <w:p>
            <w:r>
              <w:rPr>
                <w:b w:val="0"/>
                <w:sz w:val="20"/>
              </w:rPr>
              <w:t>1. Configure servers to suppress detailed error messages and limit the information disclosed in HTTP headers. 2. Regularly review and update server configurations to minimize information leakage. 3. Implement security best practices for server hardening. 4. Conduct regular security audits to identify and address information disclosure issues.</w:t>
            </w:r>
          </w:p>
        </w:tc>
        <w:tc>
          <w:tcPr>
            <w:tcW w:type="dxa" w:w="1440"/>
          </w:tcPr>
          <w:p>
            <w:r>
              <w:rPr>
                <w:b w:val="0"/>
                <w:sz w:val="20"/>
              </w:rPr>
              <w:t>https://cwe.mitre.org/data/definitions/200.html</w:t>
            </w:r>
          </w:p>
        </w:tc>
        <w:tc>
          <w:tcPr>
            <w:tcW w:type="dxa" w:w="1440"/>
          </w:tcPr>
          <w:p>
            <w:r>
              <w:rPr>
                <w:b w:val="0"/>
                <w:sz w:val="20"/>
              </w:rPr>
              <w:t>New</w:t>
            </w:r>
          </w:p>
        </w:tc>
      </w:tr>
      <w:tr>
        <w:tc>
          <w:tcPr>
            <w:tcW w:type="dxa" w:w="720"/>
          </w:tcPr>
          <w:p>
            <w:r>
              <w:rPr>
                <w:b w:val="0"/>
                <w:sz w:val="20"/>
              </w:rPr>
              <w:t>2</w:t>
            </w:r>
          </w:p>
        </w:tc>
        <w:tc>
          <w:tcPr>
            <w:tcW w:type="dxa" w:w="2160"/>
          </w:tcPr>
          <w:p>
            <w:r>
              <w:rPr>
                <w:b w:val="0"/>
                <w:sz w:val="20"/>
              </w:rPr>
              <w:t>http://10.236.150.124:8000/questions.html</w:t>
            </w:r>
          </w:p>
        </w:tc>
        <w:tc>
          <w:tcPr>
            <w:tcW w:type="dxa" w:w="2880"/>
          </w:tcPr>
          <w:p>
            <w:r>
              <w:rPr>
                <w:b w:val="0"/>
                <w:sz w:val="20"/>
              </w:rPr>
              <w:t>Security Headers Missing</w:t>
            </w:r>
          </w:p>
        </w:tc>
        <w:tc>
          <w:tcPr>
            <w:tcW w:type="dxa" w:w="1440"/>
          </w:tcPr>
          <w:p>
            <w:r>
              <w:rPr>
                <w:b w:val="0"/>
                <w:sz w:val="20"/>
              </w:rPr>
              <w:t>CVE-2023-30123 / CWE-16</w:t>
            </w:r>
          </w:p>
        </w:tc>
        <w:tc>
          <w:tcPr>
            <w:tcW w:type="dxa" w:w="1440"/>
          </w:tcPr>
          <w:p>
            <w:r>
              <w:rPr>
                <w:b w:val="0"/>
                <w:sz w:val="20"/>
              </w:rPr>
              <w:t>N/A</w:t>
            </w:r>
          </w:p>
        </w:tc>
        <w:tc>
          <w:tcPr>
            <w:tcW w:type="dxa" w:w="1440"/>
          </w:tcPr>
          <w:p>
            <w:r>
              <w:rPr>
                <w:b w:val="0"/>
                <w:sz w:val="20"/>
              </w:rPr>
              <w:t>N/A</w:t>
            </w:r>
          </w:p>
        </w:tc>
        <w:tc>
          <w:tcPr>
            <w:tcW w:type="dxa" w:w="1440"/>
          </w:tcPr>
          <w:p>
            <w:r>
              <w:rPr>
                <w:b w:val="0"/>
                <w:sz w:val="20"/>
              </w:rPr>
              <w:t>N/A</w:t>
            </w:r>
          </w:p>
        </w:tc>
        <w:tc>
          <w:tcPr>
            <w:tcW w:type="dxa" w:w="1440"/>
          </w:tcPr>
          <w:p>
            <w:r>
              <w:rPr>
                <w:b w:val="0"/>
                <w:sz w:val="20"/>
              </w:rPr>
              <w:t>medium</w:t>
            </w:r>
          </w:p>
        </w:tc>
        <w:tc>
          <w:tcPr>
            <w:tcW w:type="dxa" w:w="2160"/>
          </w:tcPr>
          <w:p>
            <w:r>
              <w:rPr>
                <w:b w:val="0"/>
                <w:sz w:val="20"/>
              </w:rPr>
              <w:t>1. Implement and configure all recommended security headers in web applications. 2. Regularly review and update security header configurations to align with best practices. 3. Use automated tools to scan for missing or misconfigured security headers. 4. Conduct regular security audits to ensure compliance with security header policies.</w:t>
            </w:r>
          </w:p>
        </w:tc>
        <w:tc>
          <w:tcPr>
            <w:tcW w:type="dxa" w:w="1440"/>
          </w:tcPr>
          <w:p>
            <w:r>
              <w:rPr>
                <w:b w:val="0"/>
                <w:sz w:val="20"/>
              </w:rPr>
              <w:t>https://cwe.mitre.org/data/definitions/16.html</w:t>
            </w:r>
          </w:p>
        </w:tc>
        <w:tc>
          <w:tcPr>
            <w:tcW w:type="dxa" w:w="1440"/>
          </w:tcPr>
          <w:p>
            <w:r>
              <w:rPr>
                <w:b w:val="0"/>
                <w:sz w:val="20"/>
              </w:rPr>
              <w:t>New</w:t>
            </w:r>
          </w:p>
        </w:tc>
      </w:tr>
      <w:tr>
        <w:tc>
          <w:tcPr>
            <w:tcW w:type="dxa" w:w="720"/>
          </w:tcPr>
          <w:p>
            <w:r>
              <w:rPr>
                <w:b w:val="0"/>
                <w:sz w:val="20"/>
              </w:rPr>
              <w:t>3</w:t>
            </w:r>
          </w:p>
        </w:tc>
        <w:tc>
          <w:tcPr>
            <w:tcW w:type="dxa" w:w="2160"/>
          </w:tcPr>
          <w:p>
            <w:r>
              <w:rPr>
                <w:b w:val="0"/>
                <w:sz w:val="20"/>
              </w:rPr>
              <w:t>http://10.236.150.124:8000/questions.html</w:t>
            </w:r>
          </w:p>
        </w:tc>
        <w:tc>
          <w:tcPr>
            <w:tcW w:type="dxa" w:w="2880"/>
          </w:tcPr>
          <w:p>
            <w:r>
              <w:rPr>
                <w:b w:val="0"/>
                <w:sz w:val="20"/>
              </w:rPr>
              <w:t>Clickjacking</w:t>
            </w:r>
          </w:p>
        </w:tc>
        <w:tc>
          <w:tcPr>
            <w:tcW w:type="dxa" w:w="1440"/>
          </w:tcPr>
          <w:p>
            <w:r>
              <w:rPr>
                <w:b w:val="0"/>
                <w:sz w:val="20"/>
              </w:rPr>
              <w:t>CVE-2023-36789 / CWE-1021</w:t>
            </w:r>
          </w:p>
        </w:tc>
        <w:tc>
          <w:tcPr>
            <w:tcW w:type="dxa" w:w="1440"/>
          </w:tcPr>
          <w:p>
            <w:r>
              <w:rPr>
                <w:b w:val="0"/>
                <w:sz w:val="20"/>
              </w:rPr>
              <w:t>N/A</w:t>
            </w:r>
          </w:p>
        </w:tc>
        <w:tc>
          <w:tcPr>
            <w:tcW w:type="dxa" w:w="1440"/>
          </w:tcPr>
          <w:p>
            <w:r>
              <w:rPr>
                <w:b w:val="0"/>
                <w:sz w:val="20"/>
              </w:rPr>
              <w:t>N/A</w:t>
            </w:r>
          </w:p>
        </w:tc>
        <w:tc>
          <w:tcPr>
            <w:tcW w:type="dxa" w:w="1440"/>
          </w:tcPr>
          <w:p>
            <w:r>
              <w:rPr>
                <w:b w:val="0"/>
                <w:sz w:val="20"/>
              </w:rPr>
              <w:t>N/A</w:t>
            </w:r>
          </w:p>
        </w:tc>
        <w:tc>
          <w:tcPr>
            <w:tcW w:type="dxa" w:w="1440"/>
          </w:tcPr>
          <w:p>
            <w:r>
              <w:rPr>
                <w:b w:val="0"/>
                <w:sz w:val="20"/>
              </w:rPr>
              <w:t>low</w:t>
            </w:r>
          </w:p>
        </w:tc>
        <w:tc>
          <w:tcPr>
            <w:tcW w:type="dxa" w:w="2160"/>
          </w:tcPr>
          <w:p>
            <w:r>
              <w:rPr>
                <w:b w:val="0"/>
                <w:sz w:val="20"/>
              </w:rPr>
              <w:t>1. Implement frame busting techniques to prevent your website from being embedded in iframes. 2. Use the X-Frame-Options HTTP header to restrict framing of your web pages. 3. Conduct regular security testing to identify and address clickjacking vulnerabilities. 4. Educate users about the risks of clickjacking and how to recognize suspicious behavior.</w:t>
            </w:r>
          </w:p>
        </w:tc>
        <w:tc>
          <w:tcPr>
            <w:tcW w:type="dxa" w:w="1440"/>
          </w:tcPr>
          <w:p>
            <w:r>
              <w:rPr>
                <w:b w:val="0"/>
                <w:sz w:val="20"/>
              </w:rPr>
              <w:t>https://cwe.mitre.org/data/definitions/1021.html</w:t>
            </w:r>
          </w:p>
        </w:tc>
        <w:tc>
          <w:tcPr>
            <w:tcW w:type="dxa" w:w="1440"/>
          </w:tcPr>
          <w:p>
            <w:r>
              <w:rPr>
                <w:b w:val="0"/>
                <w:sz w:val="20"/>
              </w:rPr>
              <w:t>New</w:t>
            </w:r>
          </w:p>
        </w:tc>
      </w:tr>
    </w:tbl>
    <w:p>
      <w:r>
        <w:br w:type="page"/>
      </w:r>
    </w:p>
    <w:p>
      <w:pPr>
        <w:pStyle w:val="Heading1"/>
        <w:jc w:val="left"/>
      </w:pPr>
      <w:r>
        <w:rPr>
          <w:rFonts w:ascii="Calibri" w:hAnsi="Calibri"/>
          <w:b/>
          <w:sz w:val="28"/>
        </w:rPr>
        <w:t>Vulnerability: Server Information Disclosure</w:t>
      </w:r>
    </w:p>
    <w:tbl>
      <w:tblPr>
        <w:tblW w:type="auto" w:w="0"/>
        <w:tblLook w:firstColumn="1" w:firstRow="1" w:lastColumn="0" w:lastRow="0" w:noHBand="0" w:noVBand="1" w:val="04A0"/>
      </w:tblPr>
      <w:tblGrid>
        <w:gridCol w:w="4320"/>
        <w:gridCol w:w="4320"/>
      </w:tblGrid>
      <w:tr>
        <w:tc>
          <w:tcPr>
            <w:tcW w:type="dxa" w:w="9792"/>
          </w:tcPr>
          <w:p>
            <w:r/>
          </w:p>
          <w:p>
            <w:r>
              <w:rPr>
                <w:rFonts w:ascii="Calibri" w:hAnsi="Calibri"/>
                <w:b/>
                <w:sz w:val="20"/>
              </w:rPr>
              <w:t>Affected Asset:</w:t>
            </w:r>
          </w:p>
          <w:p>
            <w:r>
              <w:rPr>
                <w:rFonts w:ascii="Calibri" w:hAnsi="Calibri"/>
                <w:b w:val="0"/>
                <w:sz w:val="20"/>
              </w:rPr>
              <w:t>http://10.236.150.124:8000/questions.html</w:t>
            </w:r>
          </w:p>
        </w:tc>
        <w:tc>
          <w:tcPr>
            <w:tcW w:type="dxa" w:w="288"/>
            <w:shd w:fill="FFA500"/>
          </w:tcPr>
          <w:p/>
        </w:tc>
      </w:tr>
      <w:tr>
        <w:tc>
          <w:tcPr>
            <w:tcW w:type="dxa" w:w="9792"/>
          </w:tcPr>
          <w:p>
            <w:r/>
          </w:p>
          <w:p>
            <w:r>
              <w:rPr>
                <w:rFonts w:ascii="Calibri" w:hAnsi="Calibri"/>
                <w:b/>
                <w:sz w:val="20"/>
              </w:rPr>
              <w:t>Vulnerability Title:</w:t>
            </w:r>
          </w:p>
          <w:p>
            <w:r>
              <w:rPr>
                <w:rFonts w:ascii="Calibri" w:hAnsi="Calibri"/>
                <w:b w:val="0"/>
                <w:sz w:val="20"/>
              </w:rPr>
              <w:t>Server Information Disclosure</w:t>
            </w:r>
          </w:p>
        </w:tc>
        <w:tc>
          <w:tcPr>
            <w:tcW w:type="dxa" w:w="288"/>
            <w:shd w:fill="FFA500"/>
          </w:tcPr>
          <w:p/>
        </w:tc>
      </w:tr>
      <w:tr>
        <w:tc>
          <w:tcPr>
            <w:tcW w:type="dxa" w:w="9792"/>
          </w:tcPr>
          <w:p>
            <w:r/>
          </w:p>
          <w:p>
            <w:r>
              <w:rPr>
                <w:rFonts w:ascii="Calibri" w:hAnsi="Calibri"/>
                <w:b/>
                <w:sz w:val="20"/>
              </w:rPr>
              <w:t>Business Impact:</w:t>
            </w:r>
          </w:p>
          <w:p>
            <w:r>
              <w:rPr>
                <w:rFonts w:ascii="Calibri" w:hAnsi="Calibri"/>
                <w:b w:val="0"/>
                <w:sz w:val="20"/>
              </w:rPr>
              <w:t>Server Information Disclosure can expose sensitive details about the server configuration, software versions, and internal structure. This information can be used by attackers to plan targeted attacks, leading to potential breaches and system compromises. The financial impact includes costs for incident response, system hardening, and potential regulatory fines.</w:t>
            </w:r>
          </w:p>
        </w:tc>
        <w:tc>
          <w:tcPr>
            <w:tcW w:type="dxa" w:w="288"/>
            <w:shd w:fill="FFA500"/>
          </w:tcPr>
          <w:p/>
        </w:tc>
      </w:tr>
      <w:tr>
        <w:tc>
          <w:tcPr>
            <w:tcW w:type="dxa" w:w="9792"/>
          </w:tcPr>
          <w:p>
            <w:r/>
          </w:p>
          <w:p>
            <w:r>
              <w:rPr>
                <w:rFonts w:ascii="Calibri" w:hAnsi="Calibri"/>
                <w:b/>
                <w:sz w:val="20"/>
              </w:rPr>
              <w:t>Detailed observation:</w:t>
            </w:r>
          </w:p>
          <w:p>
            <w:r>
              <w:rPr>
                <w:rFonts w:ascii="Calibri" w:hAnsi="Calibri"/>
                <w:b w:val="0"/>
                <w:sz w:val="20"/>
              </w:rPr>
              <w:t>This vulnerability occurs when a server inadvertently exposes sensitive information through error messages, HTTP headers, or other means. This information can include software versions, internal IP addresses, or directory structures, which can aid attackers in crafting exploits.</w:t>
            </w:r>
          </w:p>
        </w:tc>
        <w:tc>
          <w:tcPr>
            <w:tcW w:type="dxa" w:w="288"/>
            <w:shd w:fill="FFA500"/>
          </w:tcPr>
          <w:p/>
        </w:tc>
      </w:tr>
      <w:tr>
        <w:tc>
          <w:tcPr>
            <w:tcW w:type="dxa" w:w="9792"/>
          </w:tcPr>
          <w:p>
            <w:r/>
          </w:p>
          <w:p>
            <w:r>
              <w:rPr>
                <w:rFonts w:ascii="Calibri" w:hAnsi="Calibri"/>
                <w:b/>
                <w:sz w:val="20"/>
              </w:rPr>
              <w:t>CVE/CWE:</w:t>
            </w:r>
          </w:p>
          <w:p>
            <w:r>
              <w:rPr>
                <w:rFonts w:ascii="Calibri" w:hAnsi="Calibri"/>
                <w:b w:val="0"/>
                <w:sz w:val="20"/>
              </w:rPr>
              <w:t>CVE-2023-29012 / CWE-200</w:t>
            </w:r>
          </w:p>
        </w:tc>
        <w:tc>
          <w:tcPr>
            <w:tcW w:type="dxa" w:w="288"/>
            <w:shd w:fill="FFA500"/>
          </w:tcPr>
          <w:p/>
        </w:tc>
      </w:tr>
      <w:tr>
        <w:tc>
          <w:tcPr>
            <w:tcW w:type="dxa" w:w="9792"/>
          </w:tcPr>
          <w:p>
            <w:r/>
          </w:p>
          <w:p>
            <w:r>
              <w:rPr>
                <w:rFonts w:ascii="Calibri" w:hAnsi="Calibri"/>
                <w:b/>
                <w:sz w:val="20"/>
              </w:rPr>
              <w:t>Proof of Concept:</w:t>
            </w:r>
          </w:p>
          <w:p>
            <w:r>
              <w:rPr>
                <w:rFonts w:ascii="Calibri" w:hAnsi="Calibri"/>
                <w:b w:val="0"/>
                <w:sz w:val="20"/>
              </w:rPr>
            </w:r>
          </w:p>
          <w:p>
            <w:r>
              <w:drawing>
                <wp:inline xmlns:a="http://schemas.openxmlformats.org/drawingml/2006/main" xmlns:pic="http://schemas.openxmlformats.org/drawingml/2006/picture">
                  <wp:extent cx="4572000" cy="1697418"/>
                  <wp:docPr id="1" name="Picture 1"/>
                  <wp:cNvGraphicFramePr>
                    <a:graphicFrameLocks noChangeAspect="1"/>
                  </wp:cNvGraphicFramePr>
                  <a:graphic>
                    <a:graphicData uri="http://schemas.openxmlformats.org/drawingml/2006/picture">
                      <pic:pic>
                        <pic:nvPicPr>
                          <pic:cNvPr id="0" name="2.png"/>
                          <pic:cNvPicPr/>
                        </pic:nvPicPr>
                        <pic:blipFill>
                          <a:blip r:embed="rId9"/>
                          <a:stretch>
                            <a:fillRect/>
                          </a:stretch>
                        </pic:blipFill>
                        <pic:spPr>
                          <a:xfrm>
                            <a:off x="0" y="0"/>
                            <a:ext cx="4572000" cy="1697418"/>
                          </a:xfrm>
                          <a:prstGeom prst="rect"/>
                        </pic:spPr>
                      </pic:pic>
                    </a:graphicData>
                  </a:graphic>
                </wp:inline>
              </w:drawing>
            </w:r>
          </w:p>
          <w:p>
            <w:r>
              <w:t>The server information is being Disclosed in the particular image.</w:t>
            </w:r>
          </w:p>
          <w:p>
            <w:r>
              <w:drawing>
                <wp:inline xmlns:a="http://schemas.openxmlformats.org/drawingml/2006/main" xmlns:pic="http://schemas.openxmlformats.org/drawingml/2006/picture">
                  <wp:extent cx="4572000" cy="2417105"/>
                  <wp:docPr id="2" name="Picture 2"/>
                  <wp:cNvGraphicFramePr>
                    <a:graphicFrameLocks noChangeAspect="1"/>
                  </wp:cNvGraphicFramePr>
                  <a:graphic>
                    <a:graphicData uri="http://schemas.openxmlformats.org/drawingml/2006/picture">
                      <pic:pic>
                        <pic:nvPicPr>
                          <pic:cNvPr id="0" name="2024-07-23_13_24_19-.png"/>
                          <pic:cNvPicPr/>
                        </pic:nvPicPr>
                        <pic:blipFill>
                          <a:blip r:embed="rId10"/>
                          <a:stretch>
                            <a:fillRect/>
                          </a:stretch>
                        </pic:blipFill>
                        <pic:spPr>
                          <a:xfrm>
                            <a:off x="0" y="0"/>
                            <a:ext cx="4572000" cy="2417105"/>
                          </a:xfrm>
                          <a:prstGeom prst="rect"/>
                        </pic:spPr>
                      </pic:pic>
                    </a:graphicData>
                  </a:graphic>
                </wp:inline>
              </w:drawing>
            </w:r>
          </w:p>
          <w:p>
            <w:r>
              <w:t>Wapplyzer- A Tool to check version usage shows the version of the server and the Python.</w:t>
            </w:r>
          </w:p>
        </w:tc>
        <w:tc>
          <w:tcPr>
            <w:tcW w:type="dxa" w:w="288"/>
            <w:shd w:fill="FFA500"/>
          </w:tcPr>
          <w:p/>
        </w:tc>
      </w:tr>
      <w:tr>
        <w:tc>
          <w:tcPr>
            <w:tcW w:type="dxa" w:w="9792"/>
          </w:tcPr>
          <w:p>
            <w:r/>
          </w:p>
          <w:p>
            <w:r>
              <w:rPr>
                <w:rFonts w:ascii="Calibri" w:hAnsi="Calibri"/>
                <w:b/>
                <w:sz w:val="20"/>
              </w:rPr>
              <w:t>Vulnerable Points:</w:t>
            </w:r>
          </w:p>
          <w:p>
            <w:r>
              <w:rPr>
                <w:rFonts w:ascii="Calibri" w:hAnsi="Calibri"/>
                <w:b w:val="0"/>
                <w:sz w:val="20"/>
              </w:rPr>
              <w:t>http://10.236.150.124:8000/questions.html</w:t>
            </w:r>
          </w:p>
        </w:tc>
        <w:tc>
          <w:tcPr>
            <w:tcW w:type="dxa" w:w="288"/>
            <w:shd w:fill="FFA500"/>
          </w:tcPr>
          <w:p/>
        </w:tc>
      </w:tr>
      <w:tr>
        <w:tc>
          <w:tcPr>
            <w:tcW w:type="dxa" w:w="9792"/>
          </w:tcPr>
          <w:p>
            <w:r/>
          </w:p>
          <w:p>
            <w:r>
              <w:rPr>
                <w:rFonts w:ascii="Calibri" w:hAnsi="Calibri"/>
                <w:b/>
                <w:sz w:val="20"/>
              </w:rPr>
              <w:t>Recommendation:</w:t>
            </w:r>
          </w:p>
          <w:p>
            <w:r>
              <w:rPr>
                <w:rFonts w:ascii="Calibri" w:hAnsi="Calibri"/>
                <w:b w:val="0"/>
                <w:sz w:val="20"/>
              </w:rPr>
              <w:t>1. Configure servers to suppress detailed error messages and limit the information disclosed in HTTP headers. 2. Regularly review and update server configurations to minimize information leakage. 3. Implement security best practices for server hardening. 4. Conduct regular security audits to identify and address information disclosure issues.</w:t>
            </w:r>
          </w:p>
        </w:tc>
        <w:tc>
          <w:tcPr>
            <w:tcW w:type="dxa" w:w="288"/>
            <w:shd w:fill="FFA500"/>
          </w:tcPr>
          <w:p/>
        </w:tc>
      </w:tr>
      <w:tr>
        <w:tc>
          <w:tcPr>
            <w:tcW w:type="dxa" w:w="9792"/>
          </w:tcPr>
          <w:p>
            <w:r/>
          </w:p>
          <w:p>
            <w:r>
              <w:rPr>
                <w:rFonts w:ascii="Calibri" w:hAnsi="Calibri"/>
                <w:b/>
                <w:sz w:val="20"/>
              </w:rPr>
              <w:t>Reference:</w:t>
            </w:r>
          </w:p>
          <w:p>
            <w:r>
              <w:rPr>
                <w:rFonts w:ascii="Calibri" w:hAnsi="Calibri"/>
                <w:b w:val="0"/>
                <w:sz w:val="20"/>
              </w:rPr>
              <w:t>https://cwe.mitre.org/data/definitions/200.html</w:t>
            </w:r>
          </w:p>
        </w:tc>
        <w:tc>
          <w:tcPr>
            <w:tcW w:type="dxa" w:w="288"/>
            <w:shd w:fill="FFA500"/>
          </w:tcPr>
          <w:p/>
        </w:tc>
      </w:tr>
      <w:tr>
        <w:tc>
          <w:tcPr>
            <w:tcW w:type="dxa" w:w="9792"/>
          </w:tcPr>
          <w:p>
            <w:r/>
          </w:p>
          <w:p>
            <w:r>
              <w:rPr>
                <w:rFonts w:ascii="Calibri" w:hAnsi="Calibri"/>
                <w:b/>
                <w:sz w:val="20"/>
              </w:rPr>
              <w:t>New or Repeat observation:</w:t>
            </w:r>
          </w:p>
          <w:p>
            <w:r>
              <w:rPr>
                <w:rFonts w:ascii="Calibri" w:hAnsi="Calibri"/>
                <w:b w:val="0"/>
                <w:sz w:val="20"/>
              </w:rPr>
              <w:t>New</w:t>
            </w:r>
          </w:p>
        </w:tc>
        <w:tc>
          <w:tcPr>
            <w:tcW w:type="dxa" w:w="288"/>
            <w:shd w:fill="FFA500"/>
          </w:tcPr>
          <w:p/>
        </w:tc>
      </w:tr>
    </w:tbl>
    <w:p>
      <w:r>
        <w:br w:type="page"/>
      </w:r>
    </w:p>
    <w:p>
      <w:pPr>
        <w:pStyle w:val="Heading1"/>
        <w:jc w:val="left"/>
      </w:pPr>
      <w:r>
        <w:rPr>
          <w:rFonts w:ascii="Calibri" w:hAnsi="Calibri"/>
          <w:b/>
          <w:sz w:val="28"/>
        </w:rPr>
        <w:t>Vulnerability: Security Headers Missing</w:t>
      </w:r>
    </w:p>
    <w:tbl>
      <w:tblPr>
        <w:tblW w:type="auto" w:w="0"/>
        <w:tblLook w:firstColumn="1" w:firstRow="1" w:lastColumn="0" w:lastRow="0" w:noHBand="0" w:noVBand="1" w:val="04A0"/>
      </w:tblPr>
      <w:tblGrid>
        <w:gridCol w:w="4320"/>
        <w:gridCol w:w="4320"/>
      </w:tblGrid>
      <w:tr>
        <w:tc>
          <w:tcPr>
            <w:tcW w:type="dxa" w:w="9792"/>
          </w:tcPr>
          <w:p>
            <w:r/>
          </w:p>
          <w:p>
            <w:r>
              <w:rPr>
                <w:rFonts w:ascii="Calibri" w:hAnsi="Calibri"/>
                <w:b/>
                <w:sz w:val="20"/>
              </w:rPr>
              <w:t>Affected Asset:</w:t>
            </w:r>
          </w:p>
          <w:p>
            <w:r>
              <w:rPr>
                <w:rFonts w:ascii="Calibri" w:hAnsi="Calibri"/>
                <w:b w:val="0"/>
                <w:sz w:val="20"/>
              </w:rPr>
              <w:t>http://10.236.150.124:8000/questions.html</w:t>
            </w:r>
          </w:p>
        </w:tc>
        <w:tc>
          <w:tcPr>
            <w:tcW w:type="dxa" w:w="288"/>
            <w:shd w:fill="FFA500"/>
          </w:tcPr>
          <w:p/>
        </w:tc>
      </w:tr>
      <w:tr>
        <w:tc>
          <w:tcPr>
            <w:tcW w:type="dxa" w:w="9792"/>
          </w:tcPr>
          <w:p>
            <w:r/>
          </w:p>
          <w:p>
            <w:r>
              <w:rPr>
                <w:rFonts w:ascii="Calibri" w:hAnsi="Calibri"/>
                <w:b/>
                <w:sz w:val="20"/>
              </w:rPr>
              <w:t>Vulnerability Title:</w:t>
            </w:r>
          </w:p>
          <w:p>
            <w:r>
              <w:rPr>
                <w:rFonts w:ascii="Calibri" w:hAnsi="Calibri"/>
                <w:b w:val="0"/>
                <w:sz w:val="20"/>
              </w:rPr>
              <w:t>Security Headers Missing</w:t>
            </w:r>
          </w:p>
        </w:tc>
        <w:tc>
          <w:tcPr>
            <w:tcW w:type="dxa" w:w="288"/>
            <w:shd w:fill="FFA500"/>
          </w:tcPr>
          <w:p/>
        </w:tc>
      </w:tr>
      <w:tr>
        <w:tc>
          <w:tcPr>
            <w:tcW w:type="dxa" w:w="9792"/>
          </w:tcPr>
          <w:p>
            <w:r/>
          </w:p>
          <w:p>
            <w:r>
              <w:rPr>
                <w:rFonts w:ascii="Calibri" w:hAnsi="Calibri"/>
                <w:b/>
                <w:sz w:val="20"/>
              </w:rPr>
              <w:t>Business Impact:</w:t>
            </w:r>
          </w:p>
          <w:p>
            <w:r>
              <w:rPr>
                <w:rFonts w:ascii="Calibri" w:hAnsi="Calibri"/>
                <w:b w:val="0"/>
                <w:sz w:val="20"/>
              </w:rPr>
              <w:t>Missing security headers can leave applications vulnerable to a variety of attacks, including XSS, clickjacking, and MIME type sniffing. The financial impact includes costs for incident response, potential fines for non-compliance, and reputational damage.</w:t>
            </w:r>
          </w:p>
        </w:tc>
        <w:tc>
          <w:tcPr>
            <w:tcW w:type="dxa" w:w="288"/>
            <w:shd w:fill="FFA500"/>
          </w:tcPr>
          <w:p/>
        </w:tc>
      </w:tr>
      <w:tr>
        <w:tc>
          <w:tcPr>
            <w:tcW w:type="dxa" w:w="9792"/>
          </w:tcPr>
          <w:p>
            <w:r/>
          </w:p>
          <w:p>
            <w:r>
              <w:rPr>
                <w:rFonts w:ascii="Calibri" w:hAnsi="Calibri"/>
                <w:b/>
                <w:sz w:val="20"/>
              </w:rPr>
              <w:t>Detailed observation:</w:t>
            </w:r>
          </w:p>
          <w:p>
            <w:r>
              <w:rPr>
                <w:rFonts w:ascii="Calibri" w:hAnsi="Calibri"/>
                <w:b w:val="0"/>
                <w:sz w:val="20"/>
              </w:rPr>
              <w:t>Security headers are critical for protecting web applications from common vulnerabilities. Missing headers like Content-Security-Policy, X-Frame-Options, and X-Content-Type-Options can expose applications to XSS attacks, clickjacking, and MIME type sniffing.</w:t>
            </w:r>
          </w:p>
        </w:tc>
        <w:tc>
          <w:tcPr>
            <w:tcW w:type="dxa" w:w="288"/>
            <w:shd w:fill="FFA500"/>
          </w:tcPr>
          <w:p/>
        </w:tc>
      </w:tr>
      <w:tr>
        <w:tc>
          <w:tcPr>
            <w:tcW w:type="dxa" w:w="9792"/>
          </w:tcPr>
          <w:p>
            <w:r/>
          </w:p>
          <w:p>
            <w:r>
              <w:rPr>
                <w:rFonts w:ascii="Calibri" w:hAnsi="Calibri"/>
                <w:b/>
                <w:sz w:val="20"/>
              </w:rPr>
              <w:t>CVE/CWE:</w:t>
            </w:r>
          </w:p>
          <w:p>
            <w:r>
              <w:rPr>
                <w:rFonts w:ascii="Calibri" w:hAnsi="Calibri"/>
                <w:b w:val="0"/>
                <w:sz w:val="20"/>
              </w:rPr>
              <w:t>CVE-2023-30123 / CWE-16</w:t>
            </w:r>
          </w:p>
        </w:tc>
        <w:tc>
          <w:tcPr>
            <w:tcW w:type="dxa" w:w="288"/>
            <w:shd w:fill="FFA500"/>
          </w:tcPr>
          <w:p/>
        </w:tc>
      </w:tr>
      <w:tr>
        <w:tc>
          <w:tcPr>
            <w:tcW w:type="dxa" w:w="9792"/>
          </w:tcPr>
          <w:p>
            <w:r/>
          </w:p>
          <w:p>
            <w:r>
              <w:rPr>
                <w:rFonts w:ascii="Calibri" w:hAnsi="Calibri"/>
                <w:b/>
                <w:sz w:val="20"/>
              </w:rPr>
              <w:t>Proof of Concept:</w:t>
            </w:r>
          </w:p>
          <w:p>
            <w:r>
              <w:rPr>
                <w:rFonts w:ascii="Calibri" w:hAnsi="Calibri"/>
                <w:b w:val="0"/>
                <w:sz w:val="20"/>
              </w:rPr>
            </w:r>
          </w:p>
          <w:p>
            <w:r>
              <w:drawing>
                <wp:inline xmlns:a="http://schemas.openxmlformats.org/drawingml/2006/main" xmlns:pic="http://schemas.openxmlformats.org/drawingml/2006/picture">
                  <wp:extent cx="4572000" cy="2114550"/>
                  <wp:docPr id="3" name="Picture 3"/>
                  <wp:cNvGraphicFramePr>
                    <a:graphicFrameLocks noChangeAspect="1"/>
                  </wp:cNvGraphicFramePr>
                  <a:graphic>
                    <a:graphicData uri="http://schemas.openxmlformats.org/drawingml/2006/picture">
                      <pic:pic>
                        <pic:nvPicPr>
                          <pic:cNvPr id="0" name="3.png"/>
                          <pic:cNvPicPr/>
                        </pic:nvPicPr>
                        <pic:blipFill>
                          <a:blip r:embed="rId11"/>
                          <a:stretch>
                            <a:fillRect/>
                          </a:stretch>
                        </pic:blipFill>
                        <pic:spPr>
                          <a:xfrm>
                            <a:off x="0" y="0"/>
                            <a:ext cx="4572000" cy="2114550"/>
                          </a:xfrm>
                          <a:prstGeom prst="rect"/>
                        </pic:spPr>
                      </pic:pic>
                    </a:graphicData>
                  </a:graphic>
                </wp:inline>
              </w:drawing>
            </w:r>
          </w:p>
          <w:p>
            <w:r>
              <w:t>Image shows the missing security headers. When we click on inspect, and fo to the network tab in the inspect window, we see the security headers of both request and response. We see that a lot of Security Headers(Content Security Policy, X-Powered-by, X-Content-Type-options)</w:t>
            </w:r>
          </w:p>
          <w:p>
            <w:r>
              <w:drawing>
                <wp:inline xmlns:a="http://schemas.openxmlformats.org/drawingml/2006/main" xmlns:pic="http://schemas.openxmlformats.org/drawingml/2006/picture">
                  <wp:extent cx="4572000" cy="2402681"/>
                  <wp:docPr id="4" name="Picture 4"/>
                  <wp:cNvGraphicFramePr>
                    <a:graphicFrameLocks noChangeAspect="1"/>
                  </wp:cNvGraphicFramePr>
                  <a:graphic>
                    <a:graphicData uri="http://schemas.openxmlformats.org/drawingml/2006/picture">
                      <pic:pic>
                        <pic:nvPicPr>
                          <pic:cNvPr id="0" name="4.png"/>
                          <pic:cNvPicPr/>
                        </pic:nvPicPr>
                        <pic:blipFill>
                          <a:blip r:embed="rId12"/>
                          <a:stretch>
                            <a:fillRect/>
                          </a:stretch>
                        </pic:blipFill>
                        <pic:spPr>
                          <a:xfrm>
                            <a:off x="0" y="0"/>
                            <a:ext cx="4572000" cy="2402681"/>
                          </a:xfrm>
                          <a:prstGeom prst="rect"/>
                        </pic:spPr>
                      </pic:pic>
                    </a:graphicData>
                  </a:graphic>
                </wp:inline>
              </w:drawing>
            </w:r>
          </w:p>
          <w:p>
            <w:r>
              <w:t>Shows the missing Response Headers.</w:t>
            </w:r>
          </w:p>
          <w:p>
            <w:r>
              <w:drawing>
                <wp:inline xmlns:a="http://schemas.openxmlformats.org/drawingml/2006/main" xmlns:pic="http://schemas.openxmlformats.org/drawingml/2006/picture">
                  <wp:extent cx="4572000" cy="1964531"/>
                  <wp:docPr id="5" name="Picture 5"/>
                  <wp:cNvGraphicFramePr>
                    <a:graphicFrameLocks noChangeAspect="1"/>
                  </wp:cNvGraphicFramePr>
                  <a:graphic>
                    <a:graphicData uri="http://schemas.openxmlformats.org/drawingml/2006/picture">
                      <pic:pic>
                        <pic:nvPicPr>
                          <pic:cNvPr id="0" name="1.png"/>
                          <pic:cNvPicPr/>
                        </pic:nvPicPr>
                        <pic:blipFill>
                          <a:blip r:embed="rId13"/>
                          <a:stretch>
                            <a:fillRect/>
                          </a:stretch>
                        </pic:blipFill>
                        <pic:spPr>
                          <a:xfrm>
                            <a:off x="0" y="0"/>
                            <a:ext cx="4572000" cy="1964531"/>
                          </a:xfrm>
                          <a:prstGeom prst="rect"/>
                        </pic:spPr>
                      </pic:pic>
                    </a:graphicData>
                  </a:graphic>
                </wp:inline>
              </w:drawing>
            </w:r>
          </w:p>
          <w:p>
            <w:r>
              <w:t>Shows the missing requests header.</w:t>
            </w:r>
          </w:p>
        </w:tc>
        <w:tc>
          <w:tcPr>
            <w:tcW w:type="dxa" w:w="288"/>
            <w:shd w:fill="FFA500"/>
          </w:tcPr>
          <w:p/>
        </w:tc>
      </w:tr>
      <w:tr>
        <w:tc>
          <w:tcPr>
            <w:tcW w:type="dxa" w:w="9792"/>
          </w:tcPr>
          <w:p>
            <w:r/>
          </w:p>
          <w:p>
            <w:r>
              <w:rPr>
                <w:rFonts w:ascii="Calibri" w:hAnsi="Calibri"/>
                <w:b/>
                <w:sz w:val="20"/>
              </w:rPr>
              <w:t>Vulnerable Points:</w:t>
            </w:r>
          </w:p>
          <w:p>
            <w:r>
              <w:rPr>
                <w:rFonts w:ascii="Calibri" w:hAnsi="Calibri"/>
                <w:b w:val="0"/>
                <w:sz w:val="20"/>
              </w:rPr>
              <w:t>http://10.236.150.124:8000/questions.html</w:t>
            </w:r>
          </w:p>
        </w:tc>
        <w:tc>
          <w:tcPr>
            <w:tcW w:type="dxa" w:w="288"/>
            <w:shd w:fill="FFA500"/>
          </w:tcPr>
          <w:p/>
        </w:tc>
      </w:tr>
      <w:tr>
        <w:tc>
          <w:tcPr>
            <w:tcW w:type="dxa" w:w="9792"/>
          </w:tcPr>
          <w:p>
            <w:r/>
          </w:p>
          <w:p>
            <w:r>
              <w:rPr>
                <w:rFonts w:ascii="Calibri" w:hAnsi="Calibri"/>
                <w:b/>
                <w:sz w:val="20"/>
              </w:rPr>
              <w:t>Recommendation:</w:t>
            </w:r>
          </w:p>
          <w:p>
            <w:r>
              <w:rPr>
                <w:rFonts w:ascii="Calibri" w:hAnsi="Calibri"/>
                <w:b w:val="0"/>
                <w:sz w:val="20"/>
              </w:rPr>
              <w:t>1. Implement and configure all recommended security headers in web applications. 2. Regularly review and update security header configurations to align with best practices. 3. Use automated tools to scan for missing or misconfigured security headers. 4. Conduct regular security audits to ensure compliance with security header policies.</w:t>
            </w:r>
          </w:p>
        </w:tc>
        <w:tc>
          <w:tcPr>
            <w:tcW w:type="dxa" w:w="288"/>
            <w:shd w:fill="FFA500"/>
          </w:tcPr>
          <w:p/>
        </w:tc>
      </w:tr>
      <w:tr>
        <w:tc>
          <w:tcPr>
            <w:tcW w:type="dxa" w:w="9792"/>
          </w:tcPr>
          <w:p>
            <w:r/>
          </w:p>
          <w:p>
            <w:r>
              <w:rPr>
                <w:rFonts w:ascii="Calibri" w:hAnsi="Calibri"/>
                <w:b/>
                <w:sz w:val="20"/>
              </w:rPr>
              <w:t>Reference:</w:t>
            </w:r>
          </w:p>
          <w:p>
            <w:r>
              <w:rPr>
                <w:rFonts w:ascii="Calibri" w:hAnsi="Calibri"/>
                <w:b w:val="0"/>
                <w:sz w:val="20"/>
              </w:rPr>
              <w:t>https://cwe.mitre.org/data/definitions/16.html</w:t>
            </w:r>
          </w:p>
        </w:tc>
        <w:tc>
          <w:tcPr>
            <w:tcW w:type="dxa" w:w="288"/>
            <w:shd w:fill="FFA500"/>
          </w:tcPr>
          <w:p/>
        </w:tc>
      </w:tr>
      <w:tr>
        <w:tc>
          <w:tcPr>
            <w:tcW w:type="dxa" w:w="9792"/>
          </w:tcPr>
          <w:p>
            <w:r/>
          </w:p>
          <w:p>
            <w:r>
              <w:rPr>
                <w:rFonts w:ascii="Calibri" w:hAnsi="Calibri"/>
                <w:b/>
                <w:sz w:val="20"/>
              </w:rPr>
              <w:t>New or Repeat observation:</w:t>
            </w:r>
          </w:p>
          <w:p>
            <w:r>
              <w:rPr>
                <w:rFonts w:ascii="Calibri" w:hAnsi="Calibri"/>
                <w:b w:val="0"/>
                <w:sz w:val="20"/>
              </w:rPr>
              <w:t>New</w:t>
            </w:r>
          </w:p>
        </w:tc>
        <w:tc>
          <w:tcPr>
            <w:tcW w:type="dxa" w:w="288"/>
            <w:shd w:fill="FFA500"/>
          </w:tcPr>
          <w:p/>
        </w:tc>
      </w:tr>
    </w:tbl>
    <w:p>
      <w:r>
        <w:br w:type="page"/>
      </w:r>
    </w:p>
    <w:p>
      <w:pPr>
        <w:pStyle w:val="Heading1"/>
        <w:jc w:val="left"/>
      </w:pPr>
      <w:r>
        <w:rPr>
          <w:rFonts w:ascii="Calibri" w:hAnsi="Calibri"/>
          <w:b/>
          <w:sz w:val="28"/>
        </w:rPr>
        <w:t>Vulnerability: Clickjacking</w:t>
      </w:r>
    </w:p>
    <w:tbl>
      <w:tblPr>
        <w:tblW w:type="auto" w:w="0"/>
        <w:tblLook w:firstColumn="1" w:firstRow="1" w:lastColumn="0" w:lastRow="0" w:noHBand="0" w:noVBand="1" w:val="04A0"/>
      </w:tblPr>
      <w:tblGrid>
        <w:gridCol w:w="4320"/>
        <w:gridCol w:w="4320"/>
      </w:tblGrid>
      <w:tr>
        <w:tc>
          <w:tcPr>
            <w:tcW w:type="dxa" w:w="9792"/>
          </w:tcPr>
          <w:p>
            <w:r/>
          </w:p>
          <w:p>
            <w:r>
              <w:rPr>
                <w:rFonts w:ascii="Calibri" w:hAnsi="Calibri"/>
                <w:b/>
                <w:sz w:val="20"/>
              </w:rPr>
              <w:t>Affected Asset:</w:t>
            </w:r>
          </w:p>
          <w:p>
            <w:r>
              <w:rPr>
                <w:rFonts w:ascii="Calibri" w:hAnsi="Calibri"/>
                <w:b w:val="0"/>
                <w:sz w:val="20"/>
              </w:rPr>
              <w:t>http://10.236.150.124:8000/questions.html</w:t>
            </w:r>
          </w:p>
        </w:tc>
        <w:tc>
          <w:tcPr>
            <w:tcW w:type="dxa" w:w="288"/>
            <w:shd w:fill="FFFF00"/>
          </w:tcPr>
          <w:p/>
        </w:tc>
      </w:tr>
      <w:tr>
        <w:tc>
          <w:tcPr>
            <w:tcW w:type="dxa" w:w="9792"/>
          </w:tcPr>
          <w:p>
            <w:r/>
          </w:p>
          <w:p>
            <w:r>
              <w:rPr>
                <w:rFonts w:ascii="Calibri" w:hAnsi="Calibri"/>
                <w:b/>
                <w:sz w:val="20"/>
              </w:rPr>
              <w:t>Vulnerability Title:</w:t>
            </w:r>
          </w:p>
          <w:p>
            <w:r>
              <w:rPr>
                <w:rFonts w:ascii="Calibri" w:hAnsi="Calibri"/>
                <w:b w:val="0"/>
                <w:sz w:val="20"/>
              </w:rPr>
              <w:t>Clickjacking</w:t>
            </w:r>
          </w:p>
        </w:tc>
        <w:tc>
          <w:tcPr>
            <w:tcW w:type="dxa" w:w="288"/>
            <w:shd w:fill="FFFF00"/>
          </w:tcPr>
          <w:p/>
        </w:tc>
      </w:tr>
      <w:tr>
        <w:tc>
          <w:tcPr>
            <w:tcW w:type="dxa" w:w="9792"/>
          </w:tcPr>
          <w:p>
            <w:r/>
          </w:p>
          <w:p>
            <w:r>
              <w:rPr>
                <w:rFonts w:ascii="Calibri" w:hAnsi="Calibri"/>
                <w:b/>
                <w:sz w:val="20"/>
              </w:rPr>
              <w:t>Business Impact:</w:t>
            </w:r>
          </w:p>
          <w:p>
            <w:r>
              <w:rPr>
                <w:rFonts w:ascii="Calibri" w:hAnsi="Calibri"/>
                <w:b w:val="0"/>
                <w:sz w:val="20"/>
              </w:rPr>
              <w:t>Clickjacking can lead to unauthorized actions performed on behalf of users, compromising data integrity and user accounts. The financial impact includes costs for incident response, potential regulatory fines, and reputational damage.</w:t>
            </w:r>
          </w:p>
        </w:tc>
        <w:tc>
          <w:tcPr>
            <w:tcW w:type="dxa" w:w="288"/>
            <w:shd w:fill="FFFF00"/>
          </w:tcPr>
          <w:p/>
        </w:tc>
      </w:tr>
      <w:tr>
        <w:tc>
          <w:tcPr>
            <w:tcW w:type="dxa" w:w="9792"/>
          </w:tcPr>
          <w:p>
            <w:r/>
          </w:p>
          <w:p>
            <w:r>
              <w:rPr>
                <w:rFonts w:ascii="Calibri" w:hAnsi="Calibri"/>
                <w:b/>
                <w:sz w:val="20"/>
              </w:rPr>
              <w:t>Detailed observation:</w:t>
            </w:r>
          </w:p>
          <w:p>
            <w:r>
              <w:rPr>
                <w:rFonts w:ascii="Calibri" w:hAnsi="Calibri"/>
                <w:b w:val="0"/>
                <w:sz w:val="20"/>
              </w:rPr>
              <w:t>Clickjacking occurs when an attacker tricks a user into clicking on a malicious element disguised as a legitimate interface component. This can lead to unauthorized actions, such as changing account settings or initiating transactions without the user's knowledge.</w:t>
            </w:r>
          </w:p>
        </w:tc>
        <w:tc>
          <w:tcPr>
            <w:tcW w:type="dxa" w:w="288"/>
            <w:shd w:fill="FFFF00"/>
          </w:tcPr>
          <w:p/>
        </w:tc>
      </w:tr>
      <w:tr>
        <w:tc>
          <w:tcPr>
            <w:tcW w:type="dxa" w:w="9792"/>
          </w:tcPr>
          <w:p>
            <w:r/>
          </w:p>
          <w:p>
            <w:r>
              <w:rPr>
                <w:rFonts w:ascii="Calibri" w:hAnsi="Calibri"/>
                <w:b/>
                <w:sz w:val="20"/>
              </w:rPr>
              <w:t>CVE/CWE:</w:t>
            </w:r>
          </w:p>
          <w:p>
            <w:r>
              <w:rPr>
                <w:rFonts w:ascii="Calibri" w:hAnsi="Calibri"/>
                <w:b w:val="0"/>
                <w:sz w:val="20"/>
              </w:rPr>
              <w:t>CVE-2023-36789 / CWE-1021</w:t>
            </w:r>
          </w:p>
        </w:tc>
        <w:tc>
          <w:tcPr>
            <w:tcW w:type="dxa" w:w="288"/>
            <w:shd w:fill="FFFF00"/>
          </w:tcPr>
          <w:p/>
        </w:tc>
      </w:tr>
      <w:tr>
        <w:tc>
          <w:tcPr>
            <w:tcW w:type="dxa" w:w="9792"/>
          </w:tcPr>
          <w:p>
            <w:r/>
          </w:p>
          <w:p>
            <w:r>
              <w:rPr>
                <w:rFonts w:ascii="Calibri" w:hAnsi="Calibri"/>
                <w:b/>
                <w:sz w:val="20"/>
              </w:rPr>
              <w:t>Proof of Concept:</w:t>
            </w:r>
          </w:p>
          <w:p>
            <w:r>
              <w:rPr>
                <w:rFonts w:ascii="Calibri" w:hAnsi="Calibri"/>
                <w:b w:val="0"/>
                <w:sz w:val="20"/>
              </w:rPr>
            </w:r>
          </w:p>
          <w:p>
            <w:r>
              <w:drawing>
                <wp:inline xmlns:a="http://schemas.openxmlformats.org/drawingml/2006/main" xmlns:pic="http://schemas.openxmlformats.org/drawingml/2006/picture">
                  <wp:extent cx="4572000" cy="2372013"/>
                  <wp:docPr id="6" name="Picture 6"/>
                  <wp:cNvGraphicFramePr>
                    <a:graphicFrameLocks noChangeAspect="1"/>
                  </wp:cNvGraphicFramePr>
                  <a:graphic>
                    <a:graphicData uri="http://schemas.openxmlformats.org/drawingml/2006/picture">
                      <pic:pic>
                        <pic:nvPicPr>
                          <pic:cNvPr id="0" name="5.png"/>
                          <pic:cNvPicPr/>
                        </pic:nvPicPr>
                        <pic:blipFill>
                          <a:blip r:embed="rId14"/>
                          <a:stretch>
                            <a:fillRect/>
                          </a:stretch>
                        </pic:blipFill>
                        <pic:spPr>
                          <a:xfrm>
                            <a:off x="0" y="0"/>
                            <a:ext cx="4572000" cy="2372013"/>
                          </a:xfrm>
                          <a:prstGeom prst="rect"/>
                        </pic:spPr>
                      </pic:pic>
                    </a:graphicData>
                  </a:graphic>
                </wp:inline>
              </w:drawing>
            </w:r>
          </w:p>
          <w:p>
            <w:r>
              <w:t>Using Burp-Suite as a tool , we see that the page is susceptible to clickjacking.</w:t>
            </w:r>
          </w:p>
        </w:tc>
        <w:tc>
          <w:tcPr>
            <w:tcW w:type="dxa" w:w="288"/>
            <w:shd w:fill="FFFF00"/>
          </w:tcPr>
          <w:p/>
        </w:tc>
      </w:tr>
      <w:tr>
        <w:tc>
          <w:tcPr>
            <w:tcW w:type="dxa" w:w="9792"/>
          </w:tcPr>
          <w:p>
            <w:r/>
          </w:p>
          <w:p>
            <w:r>
              <w:rPr>
                <w:rFonts w:ascii="Calibri" w:hAnsi="Calibri"/>
                <w:b/>
                <w:sz w:val="20"/>
              </w:rPr>
              <w:t>Vulnerable Points:</w:t>
            </w:r>
          </w:p>
          <w:p>
            <w:r>
              <w:rPr>
                <w:rFonts w:ascii="Calibri" w:hAnsi="Calibri"/>
                <w:b w:val="0"/>
                <w:sz w:val="20"/>
              </w:rPr>
              <w:t>http://10.236.150.124:8000/questions.html</w:t>
            </w:r>
          </w:p>
        </w:tc>
        <w:tc>
          <w:tcPr>
            <w:tcW w:type="dxa" w:w="288"/>
            <w:shd w:fill="FFFF00"/>
          </w:tcPr>
          <w:p/>
        </w:tc>
      </w:tr>
      <w:tr>
        <w:tc>
          <w:tcPr>
            <w:tcW w:type="dxa" w:w="9792"/>
          </w:tcPr>
          <w:p>
            <w:r/>
          </w:p>
          <w:p>
            <w:r>
              <w:rPr>
                <w:rFonts w:ascii="Calibri" w:hAnsi="Calibri"/>
                <w:b/>
                <w:sz w:val="20"/>
              </w:rPr>
              <w:t>Recommendation:</w:t>
            </w:r>
          </w:p>
          <w:p>
            <w:r>
              <w:rPr>
                <w:rFonts w:ascii="Calibri" w:hAnsi="Calibri"/>
                <w:b w:val="0"/>
                <w:sz w:val="20"/>
              </w:rPr>
              <w:t>1. Implement frame busting techniques to prevent your website from being embedded in iframes. 2. Use the X-Frame-Options HTTP header to restrict framing of your web pages. 3. Conduct regular security testing to identify and address clickjacking vulnerabilities. 4. Educate users about the risks of clickjacking and how to recognize suspicious behavior.</w:t>
            </w:r>
          </w:p>
        </w:tc>
        <w:tc>
          <w:tcPr>
            <w:tcW w:type="dxa" w:w="288"/>
            <w:shd w:fill="FFFF00"/>
          </w:tcPr>
          <w:p/>
        </w:tc>
      </w:tr>
      <w:tr>
        <w:tc>
          <w:tcPr>
            <w:tcW w:type="dxa" w:w="9792"/>
          </w:tcPr>
          <w:p>
            <w:r/>
          </w:p>
          <w:p>
            <w:r>
              <w:rPr>
                <w:rFonts w:ascii="Calibri" w:hAnsi="Calibri"/>
                <w:b/>
                <w:sz w:val="20"/>
              </w:rPr>
              <w:t>Reference:</w:t>
            </w:r>
          </w:p>
          <w:p>
            <w:r>
              <w:rPr>
                <w:rFonts w:ascii="Calibri" w:hAnsi="Calibri"/>
                <w:b w:val="0"/>
                <w:sz w:val="20"/>
              </w:rPr>
              <w:t>https://cwe.mitre.org/data/definitions/1021.html</w:t>
            </w:r>
          </w:p>
        </w:tc>
        <w:tc>
          <w:tcPr>
            <w:tcW w:type="dxa" w:w="288"/>
            <w:shd w:fill="FFFF00"/>
          </w:tcPr>
          <w:p/>
        </w:tc>
      </w:tr>
      <w:tr>
        <w:tc>
          <w:tcPr>
            <w:tcW w:type="dxa" w:w="9792"/>
          </w:tcPr>
          <w:p>
            <w:r/>
          </w:p>
          <w:p>
            <w:r>
              <w:rPr>
                <w:rFonts w:ascii="Calibri" w:hAnsi="Calibri"/>
                <w:b/>
                <w:sz w:val="20"/>
              </w:rPr>
              <w:t>New or Repeat observation:</w:t>
            </w:r>
          </w:p>
          <w:p>
            <w:r>
              <w:rPr>
                <w:rFonts w:ascii="Calibri" w:hAnsi="Calibri"/>
                <w:b w:val="0"/>
                <w:sz w:val="20"/>
              </w:rPr>
              <w:t>New</w:t>
            </w:r>
          </w:p>
        </w:tc>
        <w:tc>
          <w:tcPr>
            <w:tcW w:type="dxa" w:w="288"/>
            <w:shd w:fill="FFFF0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