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left"/>
        <w:rPr/>
      </w:pPr>
      <w:r>
        <w:rPr/>
        <w:t>This policy applies to every UNIUN team member from 1 January 2026. It replaces all earlier leave and expense circulars.</w:t>
      </w:r>
    </w:p>
    <w:p>
      <w:pPr>
        <w:pStyle w:val="Heading1"/>
        <w:bidi w:val="0"/>
        <w:jc w:val="left"/>
        <w:rPr/>
      </w:pPr>
      <w:r>
        <w:rPr/>
        <w:t>Annual Leave</w:t>
      </w:r>
    </w:p>
    <w:p>
      <w:pPr>
        <w:pStyle w:val="BodyText"/>
        <w:bidi w:val="0"/>
        <w:jc w:val="left"/>
        <w:rPr/>
      </w:pPr>
      <w:r>
        <w:rPr/>
        <w:t>Every team member receives 24 days of paid annual leave per calendar year. Up to 10 unused days may be carried forward into the next year; any balance above 10 days lapses on 31 December.</w:t>
      </w:r>
    </w:p>
    <w:p>
      <w:pPr>
        <w:pStyle w:val="BodyText"/>
        <w:bidi w:val="0"/>
        <w:jc w:val="left"/>
        <w:rPr/>
      </w:pPr>
      <w:r>
        <w:rPr/>
        <w:t>Annual leave must be requested at least 7 days in advance through the team calendar.</w:t>
      </w:r>
    </w:p>
    <w:p>
      <w:pPr>
        <w:pStyle w:val="Heading1"/>
        <w:bidi w:val="0"/>
        <w:jc w:val="left"/>
        <w:rPr/>
      </w:pPr>
      <w:r>
        <w:rPr/>
        <w:t>Sick Leave</w:t>
      </w:r>
    </w:p>
    <w:p>
      <w:pPr>
        <w:pStyle w:val="BodyText"/>
        <w:bidi w:val="0"/>
        <w:jc w:val="left"/>
        <w:rPr/>
      </w:pPr>
      <w:r>
        <w:rPr/>
        <w:t>Team members receive 12 days of paid sick leave per year. A medical certificate is required for any absence longer than 3 consecutive days. Sick leave cannot be carried forward.</w:t>
      </w:r>
    </w:p>
    <w:p>
      <w:pPr>
        <w:pStyle w:val="Heading1"/>
        <w:bidi w:val="0"/>
        <w:jc w:val="left"/>
        <w:rPr/>
      </w:pPr>
      <w:r>
        <w:rPr/>
        <w:t>Remote Work</w:t>
      </w:r>
    </w:p>
    <w:p>
      <w:pPr>
        <w:pStyle w:val="BodyText"/>
        <w:bidi w:val="0"/>
        <w:jc w:val="left"/>
        <w:rPr/>
      </w:pPr>
      <w:r>
        <w:rPr/>
        <w:t>Team members may work remotely for up to 8 days per month. Core collaboration hours are 11:00 to 17:00 India Standard Time, during which everyone must be reachable.</w:t>
      </w:r>
    </w:p>
    <w:p>
      <w:pPr>
        <w:pStyle w:val="Heading1"/>
        <w:bidi w:val="0"/>
        <w:jc w:val="left"/>
        <w:rPr/>
      </w:pPr>
      <w:r>
        <w:rPr/>
        <w:t>Travel and Expenses</w:t>
      </w:r>
    </w:p>
    <w:p>
      <w:pPr>
        <w:pStyle w:val="BodyText"/>
        <w:bidi w:val="0"/>
        <w:jc w:val="left"/>
        <w:rPr/>
      </w:pPr>
      <w:r>
        <w:rPr/>
        <w:t>Expense claims must be submitted within 30 days of the expense. Any single claim above 5000 rupees needs prior written approval from the team lead. Claims submitted after 60 days are not reimbursed.</w:t>
      </w:r>
    </w:p>
    <w:tbl>
      <w:tblPr>
        <w:tblW w:w="2567" w:type="dxa"/>
        <w:jc w:val="left"/>
        <w:tblInd w:w="-7" w:type="dxa"/>
        <w:tblLayout w:type="fixed"/>
        <w:tblCellMar>
          <w:top w:w="28" w:type="dxa"/>
          <w:left w:w="28" w:type="dxa"/>
          <w:bottom w:w="28" w:type="dxa"/>
          <w:right w:w="28" w:type="dxa"/>
        </w:tblCellMar>
      </w:tblPr>
      <w:tblGrid>
        <w:gridCol w:w="1261"/>
        <w:gridCol w:w="1306"/>
      </w:tblGrid>
      <w:tr>
        <w:trPr/>
        <w:tc>
          <w:tcPr>
            <w:tcW w:w="1261" w:type="dxa"/>
            <w:tcBorders>
              <w:top w:val="double" w:sz="2" w:space="0" w:color="808080"/>
              <w:left w:val="double" w:sz="2" w:space="0" w:color="808080"/>
              <w:bottom w:val="double" w:sz="2" w:space="0" w:color="808080"/>
              <w:right w:val="double" w:sz="2" w:space="0" w:color="808080"/>
            </w:tcBorders>
            <w:vAlign w:val="center"/>
          </w:tcPr>
          <w:p>
            <w:pPr>
              <w:pStyle w:val="TableContents"/>
              <w:bidi w:val="0"/>
              <w:spacing w:before="0" w:after="283"/>
              <w:jc w:val="left"/>
              <w:rPr/>
            </w:pPr>
            <w:r>
              <w:rPr/>
              <w:t>Category</w:t>
            </w:r>
          </w:p>
        </w:tc>
        <w:tc>
          <w:tcPr>
            <w:tcW w:w="1306" w:type="dxa"/>
            <w:tcBorders>
              <w:top w:val="double" w:sz="2" w:space="0" w:color="808080"/>
              <w:left w:val="double" w:sz="2" w:space="0" w:color="808080"/>
              <w:bottom w:val="double" w:sz="2" w:space="0" w:color="808080"/>
              <w:right w:val="double" w:sz="2" w:space="0" w:color="808080"/>
            </w:tcBorders>
            <w:vAlign w:val="center"/>
          </w:tcPr>
          <w:p>
            <w:pPr>
              <w:pStyle w:val="TableContents"/>
              <w:bidi w:val="0"/>
              <w:spacing w:before="0" w:after="283"/>
              <w:jc w:val="left"/>
              <w:rPr/>
            </w:pPr>
            <w:r>
              <w:rPr/>
              <w:t>Daily limit</w:t>
            </w:r>
          </w:p>
        </w:tc>
      </w:tr>
      <w:tr>
        <w:trPr/>
        <w:tc>
          <w:tcPr>
            <w:tcW w:w="1261" w:type="dxa"/>
            <w:tcBorders>
              <w:left w:val="double" w:sz="2" w:space="0" w:color="808080"/>
              <w:bottom w:val="double" w:sz="2" w:space="0" w:color="808080"/>
              <w:right w:val="double" w:sz="2" w:space="0" w:color="808080"/>
            </w:tcBorders>
            <w:vAlign w:val="center"/>
          </w:tcPr>
          <w:p>
            <w:pPr>
              <w:pStyle w:val="TableContents"/>
              <w:bidi w:val="0"/>
              <w:spacing w:before="0" w:after="283"/>
              <w:jc w:val="left"/>
              <w:rPr/>
            </w:pPr>
            <w:r>
              <w:rPr/>
              <w:t>Meals</w:t>
            </w:r>
          </w:p>
        </w:tc>
        <w:tc>
          <w:tcPr>
            <w:tcW w:w="1306" w:type="dxa"/>
            <w:tcBorders>
              <w:left w:val="double" w:sz="2" w:space="0" w:color="808080"/>
              <w:bottom w:val="double" w:sz="2" w:space="0" w:color="808080"/>
              <w:right w:val="double" w:sz="2" w:space="0" w:color="808080"/>
            </w:tcBorders>
            <w:vAlign w:val="center"/>
          </w:tcPr>
          <w:p>
            <w:pPr>
              <w:pStyle w:val="TableContents"/>
              <w:bidi w:val="0"/>
              <w:spacing w:before="0" w:after="283"/>
              <w:jc w:val="left"/>
              <w:rPr/>
            </w:pPr>
            <w:r>
              <w:rPr/>
              <w:t>800 rupees</w:t>
            </w:r>
          </w:p>
        </w:tc>
      </w:tr>
      <w:tr>
        <w:trPr/>
        <w:tc>
          <w:tcPr>
            <w:tcW w:w="1261" w:type="dxa"/>
            <w:tcBorders>
              <w:left w:val="double" w:sz="2" w:space="0" w:color="808080"/>
              <w:bottom w:val="double" w:sz="2" w:space="0" w:color="808080"/>
              <w:right w:val="double" w:sz="2" w:space="0" w:color="808080"/>
            </w:tcBorders>
            <w:vAlign w:val="center"/>
          </w:tcPr>
          <w:p>
            <w:pPr>
              <w:pStyle w:val="TableContents"/>
              <w:bidi w:val="0"/>
              <w:spacing w:before="0" w:after="283"/>
              <w:jc w:val="left"/>
              <w:rPr/>
            </w:pPr>
            <w:r>
              <w:rPr/>
              <w:t>Local travel</w:t>
            </w:r>
          </w:p>
        </w:tc>
        <w:tc>
          <w:tcPr>
            <w:tcW w:w="1306" w:type="dxa"/>
            <w:tcBorders>
              <w:left w:val="double" w:sz="2" w:space="0" w:color="808080"/>
              <w:bottom w:val="double" w:sz="2" w:space="0" w:color="808080"/>
              <w:right w:val="double" w:sz="2" w:space="0" w:color="808080"/>
            </w:tcBorders>
            <w:vAlign w:val="center"/>
          </w:tcPr>
          <w:p>
            <w:pPr>
              <w:pStyle w:val="TableContents"/>
              <w:bidi w:val="0"/>
              <w:spacing w:before="0" w:after="283"/>
              <w:jc w:val="left"/>
              <w:rPr/>
            </w:pPr>
            <w:r>
              <w:rPr/>
              <w:t>1200 rupees</w:t>
            </w:r>
          </w:p>
        </w:tc>
      </w:tr>
    </w:tbl>
    <w:p>
      <w:pPr>
        <w:pStyle w:val="BodyText"/>
        <w:bidi w:val="0"/>
        <w:spacing w:before="0" w:after="283"/>
        <w:jc w:val="left"/>
        <w:rPr/>
      </w:pPr>
      <w:r>
        <w:rPr/>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Noto Sans">
    <w:charset w:val="01"/>
    <w:family w:val="auto"/>
    <w:pitch w:val="variable"/>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IN"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IN" w:eastAsia="zh-CN" w:bidi="hi-IN"/>
    </w:rPr>
  </w:style>
  <w:style w:type="paragraph" w:styleId="Heading1">
    <w:name w:val="Heading 1"/>
    <w:basedOn w:val="Heading"/>
    <w:next w:val="BodyText"/>
    <w:qFormat/>
    <w:pPr/>
    <w:rPr>
      <w:rFonts w:ascii="Noto Sans" w:hAnsi="Noto Sans"/>
      <w:b/>
      <w:bCs/>
      <w:sz w:val="48"/>
      <w:szCs w:val="4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cp:revision>0</cp:revision>
  <dc:subject/>
  <dc:title>UNIUN Leave and Expense Policy 2026</dc:title>
</cp:coreProperties>
</file>

<file path=docProps/custom.xml><?xml version="1.0" encoding="utf-8"?>
<Properties xmlns="http://schemas.openxmlformats.org/officeDocument/2006/custom-properties" xmlns:vt="http://schemas.openxmlformats.org/officeDocument/2006/docPropsVTypes"/>
</file>