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F6AE" w14:textId="77777777" w:rsidR="00381869" w:rsidRPr="00267816" w:rsidRDefault="00000000" w:rsidP="00465545">
      <w:pPr>
        <w:spacing w:after="80"/>
        <w:jc w:val="center"/>
        <w:rPr>
          <w:rFonts w:ascii="Times New Roman" w:hAnsi="Times New Roman" w:cs="Times New Roman"/>
        </w:rPr>
      </w:pPr>
      <w:r w:rsidRPr="00267816">
        <w:rPr>
          <w:rFonts w:ascii="Times New Roman" w:hAnsi="Times New Roman" w:cs="Times New Roman"/>
          <w:b/>
          <w:bCs/>
          <w:sz w:val="44"/>
          <w:szCs w:val="44"/>
        </w:rPr>
        <w:t>Market Sentiment &amp; Trader Performance</w:t>
      </w:r>
    </w:p>
    <w:p w14:paraId="4C741CE5" w14:textId="43D6A27C" w:rsidR="00381869" w:rsidRPr="00267816" w:rsidRDefault="00381869">
      <w:pPr>
        <w:spacing w:after="40"/>
        <w:rPr>
          <w:rFonts w:ascii="Times New Roman" w:hAnsi="Times New Roman" w:cs="Times New Roman"/>
        </w:rPr>
      </w:pPr>
    </w:p>
    <w:p w14:paraId="1ED0466F" w14:textId="4C8060D8" w:rsidR="00381869" w:rsidRPr="00267816" w:rsidRDefault="00000000">
      <w:pPr>
        <w:pStyle w:val="Heading1"/>
        <w:spacing w:before="400" w:after="200"/>
        <w:rPr>
          <w:rFonts w:ascii="Times New Roman" w:hAnsi="Times New Roman" w:cs="Times New Roman"/>
          <w:color w:val="auto"/>
        </w:rPr>
      </w:pPr>
      <w:r w:rsidRPr="00267816">
        <w:rPr>
          <w:rFonts w:ascii="Times New Roman" w:hAnsi="Times New Roman" w:cs="Times New Roman"/>
          <w:b/>
          <w:bCs/>
          <w:color w:val="auto"/>
          <w:sz w:val="30"/>
          <w:szCs w:val="30"/>
        </w:rPr>
        <w:t>Summary</w:t>
      </w:r>
    </w:p>
    <w:p w14:paraId="372ADDF3" w14:textId="1E4599F7" w:rsidR="00381869" w:rsidRPr="00267816" w:rsidRDefault="00465545">
      <w:pPr>
        <w:spacing w:after="160"/>
        <w:rPr>
          <w:rFonts w:ascii="Times New Roman" w:hAnsi="Times New Roman" w:cs="Times New Roman"/>
        </w:rPr>
      </w:pPr>
      <w:r w:rsidRPr="00267816">
        <w:rPr>
          <w:rFonts w:ascii="Times New Roman" w:hAnsi="Times New Roman" w:cs="Times New Roman"/>
          <w:sz w:val="22"/>
          <w:szCs w:val="22"/>
        </w:rPr>
        <w:t>The study mixes trading info from Hyperliquid accounts with the Bitcoin fear and greed numbers. This is to see how market feelings connect to what traders actually do in practice. Emotions like fear or greed might shift profits and risk levels. It checks if those feelings change how traders handle positions or adjust their style over time</w:t>
      </w:r>
      <w:r w:rsidR="00000000" w:rsidRPr="00267816">
        <w:rPr>
          <w:rFonts w:ascii="Times New Roman" w:hAnsi="Times New Roman" w:cs="Times New Roman"/>
          <w:sz w:val="22"/>
          <w:szCs w:val="22"/>
        </w:rPr>
        <w:t>. Five headline findings emerged:</w:t>
      </w:r>
    </w:p>
    <w:p w14:paraId="3ABB2B2E" w14:textId="77777777" w:rsidR="00465545" w:rsidRPr="00267816" w:rsidRDefault="00465545">
      <w:pPr>
        <w:pStyle w:val="ListParagraph"/>
        <w:numPr>
          <w:ilvl w:val="0"/>
          <w:numId w:val="1"/>
        </w:numPr>
        <w:spacing w:after="100"/>
        <w:rPr>
          <w:rFonts w:ascii="Times New Roman" w:hAnsi="Times New Roman" w:cs="Times New Roman"/>
        </w:rPr>
      </w:pPr>
      <w:r w:rsidRPr="00267816">
        <w:rPr>
          <w:rFonts w:ascii="Times New Roman" w:hAnsi="Times New Roman" w:cs="Times New Roman"/>
          <w:sz w:val="22"/>
          <w:szCs w:val="22"/>
        </w:rPr>
        <w:t>Traders earn the highest average daily profit during Extreme Fear and the lowest during Neutral or Greed periods. However, this is mainly because of a few traders making very large profits, not because most traders perform better.</w:t>
      </w:r>
    </w:p>
    <w:p w14:paraId="196D18E0" w14:textId="77777777" w:rsidR="00465545" w:rsidRPr="00267816" w:rsidRDefault="00465545">
      <w:pPr>
        <w:pStyle w:val="ListParagraph"/>
        <w:numPr>
          <w:ilvl w:val="0"/>
          <w:numId w:val="1"/>
        </w:numPr>
        <w:spacing w:after="100"/>
        <w:rPr>
          <w:rFonts w:ascii="Times New Roman" w:hAnsi="Times New Roman" w:cs="Times New Roman"/>
        </w:rPr>
      </w:pPr>
      <w:r w:rsidRPr="00267816">
        <w:rPr>
          <w:rFonts w:ascii="Times New Roman" w:hAnsi="Times New Roman" w:cs="Times New Roman"/>
          <w:sz w:val="22"/>
          <w:szCs w:val="22"/>
        </w:rPr>
        <w:t>Win rate and profit are not the same thing: during Extreme Greed, traders win more often, but during Extreme Fear, they make larger profits per successful trade. So in fearful markets, traders win less frequently but gain more when they do.</w:t>
      </w:r>
    </w:p>
    <w:p w14:paraId="0A7FBC26" w14:textId="77777777" w:rsidR="00465545" w:rsidRPr="00267816" w:rsidRDefault="00465545">
      <w:pPr>
        <w:pStyle w:val="ListParagraph"/>
        <w:numPr>
          <w:ilvl w:val="0"/>
          <w:numId w:val="1"/>
        </w:numPr>
        <w:spacing w:after="100"/>
        <w:rPr>
          <w:rFonts w:ascii="Times New Roman" w:hAnsi="Times New Roman" w:cs="Times New Roman"/>
        </w:rPr>
      </w:pPr>
      <w:r w:rsidRPr="00267816">
        <w:rPr>
          <w:rFonts w:ascii="Times New Roman" w:hAnsi="Times New Roman" w:cs="Times New Roman"/>
          <w:sz w:val="22"/>
          <w:szCs w:val="22"/>
        </w:rPr>
        <w:t>Traders use the highest leverage (more risk) during normal Greed periods (25.3% of trades) rather than during Extreme Greed (19.1%). This suggests people take the most risk in regular optimistic markets, not at peak excitement.</w:t>
      </w:r>
    </w:p>
    <w:p w14:paraId="6774FF23" w14:textId="77777777" w:rsidR="00465545" w:rsidRPr="00267816" w:rsidRDefault="00465545" w:rsidP="00465545">
      <w:pPr>
        <w:pStyle w:val="ListParagraph"/>
        <w:numPr>
          <w:ilvl w:val="0"/>
          <w:numId w:val="1"/>
        </w:numPr>
        <w:spacing w:after="100"/>
        <w:rPr>
          <w:rFonts w:ascii="Times New Roman" w:hAnsi="Times New Roman" w:cs="Times New Roman"/>
        </w:rPr>
      </w:pPr>
      <w:r w:rsidRPr="00267816">
        <w:rPr>
          <w:rFonts w:ascii="Times New Roman" w:hAnsi="Times New Roman" w:cs="Times New Roman"/>
          <w:sz w:val="22"/>
          <w:szCs w:val="22"/>
        </w:rPr>
        <w:t>Market sentiment does affect next-day profits, but over longer periods the results get skewed by a few extreme trades. Looking at the median profit gives a more realistic picture than using the average.</w:t>
      </w:r>
    </w:p>
    <w:p w14:paraId="7D77FBD7" w14:textId="77777777" w:rsidR="00465545" w:rsidRPr="00267816" w:rsidRDefault="00465545" w:rsidP="00465545">
      <w:pPr>
        <w:pStyle w:val="ListParagraph"/>
        <w:numPr>
          <w:ilvl w:val="0"/>
          <w:numId w:val="1"/>
        </w:numPr>
        <w:spacing w:after="100"/>
        <w:rPr>
          <w:rFonts w:ascii="Times New Roman" w:hAnsi="Times New Roman" w:cs="Times New Roman"/>
        </w:rPr>
      </w:pPr>
      <w:r w:rsidRPr="00267816">
        <w:rPr>
          <w:rFonts w:ascii="Times New Roman" w:hAnsi="Times New Roman" w:cs="Times New Roman"/>
          <w:sz w:val="22"/>
          <w:szCs w:val="22"/>
        </w:rPr>
        <w:t>Different trader types appear in the data: a small group of aggressive traders (“Fear whales”) earns unusually high profits during market panic, while most traders show only a small change in behavior based on market sentiment.</w:t>
      </w:r>
    </w:p>
    <w:p w14:paraId="5686356E" w14:textId="77777777" w:rsidR="00465545" w:rsidRPr="00267816" w:rsidRDefault="00465545" w:rsidP="00465545">
      <w:pPr>
        <w:pStyle w:val="ListParagraph"/>
        <w:spacing w:after="100"/>
        <w:ind w:left="720"/>
        <w:rPr>
          <w:rFonts w:ascii="Times New Roman" w:hAnsi="Times New Roman" w:cs="Times New Roman"/>
        </w:rPr>
      </w:pPr>
    </w:p>
    <w:p w14:paraId="6D52A99A" w14:textId="0CE170C7" w:rsidR="00381869" w:rsidRPr="00267816" w:rsidRDefault="00267816" w:rsidP="00267816">
      <w:pPr>
        <w:spacing w:after="100"/>
        <w:rPr>
          <w:rFonts w:ascii="Times New Roman" w:hAnsi="Times New Roman" w:cs="Times New Roman"/>
        </w:rPr>
      </w:pPr>
      <w:r>
        <w:rPr>
          <w:rFonts w:ascii="Times New Roman" w:hAnsi="Times New Roman" w:cs="Times New Roman"/>
          <w:b/>
          <w:bCs/>
          <w:sz w:val="30"/>
          <w:szCs w:val="30"/>
        </w:rPr>
        <w:t>1.</w:t>
      </w:r>
      <w:r w:rsidR="00000000" w:rsidRPr="00267816">
        <w:rPr>
          <w:rFonts w:ascii="Times New Roman" w:hAnsi="Times New Roman" w:cs="Times New Roman"/>
          <w:b/>
          <w:bCs/>
          <w:sz w:val="30"/>
          <w:szCs w:val="30"/>
        </w:rPr>
        <w:t>Data &amp; Methodology</w:t>
      </w:r>
    </w:p>
    <w:p w14:paraId="4EC07112" w14:textId="77777777" w:rsidR="00465545" w:rsidRPr="00267816" w:rsidRDefault="00465545" w:rsidP="00465545">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Trade data from Hyperliquid (such as trader account, coin traded, trade price, trade size, buy/sell side, leverage used, profit/loss, and time of trade) was combined and summarized for each trader per day. This was then matched with the daily Bitcoin Fear &amp; Greed Index categories (Extreme Fear, Fear, Neutral, Greed, Extreme Gree</w:t>
      </w:r>
      <w:r w:rsidRPr="00267816">
        <w:rPr>
          <w:rFonts w:ascii="Times New Roman" w:hAnsi="Times New Roman" w:cs="Times New Roman"/>
          <w:color w:val="auto"/>
          <w:sz w:val="22"/>
          <w:szCs w:val="22"/>
        </w:rPr>
        <w:t>d</w:t>
      </w:r>
      <w:r w:rsidRPr="00267816">
        <w:rPr>
          <w:rFonts w:ascii="Times New Roman" w:hAnsi="Times New Roman" w:cs="Times New Roman"/>
          <w:color w:val="auto"/>
          <w:sz w:val="22"/>
          <w:szCs w:val="22"/>
        </w:rPr>
        <w:t>).</w:t>
      </w:r>
    </w:p>
    <w:p w14:paraId="3437AE4E" w14:textId="77777777" w:rsidR="00465545" w:rsidRPr="00267816" w:rsidRDefault="00465545" w:rsidP="00465545">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Since the trade data and sentiment data used different time zones, timestamps were converted from IST to UTC to make sure each trade matched the correct day’s sentiment.</w:t>
      </w:r>
    </w:p>
    <w:p w14:paraId="7C2590C3" w14:textId="10E8209C" w:rsidR="00465545" w:rsidRPr="00267816" w:rsidRDefault="00465545" w:rsidP="00465545">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To check whether the observed patterns were meaningful and not random:</w:t>
      </w:r>
    </w:p>
    <w:p w14:paraId="417FEB0C" w14:textId="77777777" w:rsidR="00465545" w:rsidRPr="00267816" w:rsidRDefault="00465545" w:rsidP="00465545">
      <w:pPr>
        <w:pStyle w:val="Heading1"/>
        <w:numPr>
          <w:ilvl w:val="0"/>
          <w:numId w:val="2"/>
        </w:numPr>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The Kruskal–Wallis test was used to compare profits across sentiment groups because profit data was uneven and had extreme values.</w:t>
      </w:r>
    </w:p>
    <w:p w14:paraId="516A7B1C" w14:textId="77777777" w:rsidR="00465545" w:rsidRPr="00267816" w:rsidRDefault="00465545" w:rsidP="00465545">
      <w:pPr>
        <w:pStyle w:val="Heading1"/>
        <w:numPr>
          <w:ilvl w:val="0"/>
          <w:numId w:val="2"/>
        </w:numPr>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The Chi-square test was used to see whether trader behavior categories were related to market sentiment.</w:t>
      </w:r>
    </w:p>
    <w:p w14:paraId="45AAAA43" w14:textId="05601B9E" w:rsidR="00381869" w:rsidRPr="00267816" w:rsidRDefault="00267816" w:rsidP="00465545">
      <w:pPr>
        <w:pStyle w:val="Heading1"/>
        <w:spacing w:before="400" w:after="200"/>
        <w:rPr>
          <w:rFonts w:ascii="Times New Roman" w:hAnsi="Times New Roman" w:cs="Times New Roman"/>
          <w:color w:val="auto"/>
          <w:sz w:val="22"/>
          <w:szCs w:val="22"/>
        </w:rPr>
      </w:pPr>
      <w:r>
        <w:rPr>
          <w:rFonts w:ascii="Times New Roman" w:hAnsi="Times New Roman" w:cs="Times New Roman"/>
          <w:b/>
          <w:bCs/>
          <w:color w:val="auto"/>
          <w:sz w:val="30"/>
          <w:szCs w:val="30"/>
        </w:rPr>
        <w:t xml:space="preserve">2. </w:t>
      </w:r>
      <w:r w:rsidR="00000000" w:rsidRPr="00267816">
        <w:rPr>
          <w:rFonts w:ascii="Times New Roman" w:hAnsi="Times New Roman" w:cs="Times New Roman"/>
          <w:b/>
          <w:bCs/>
          <w:color w:val="auto"/>
          <w:sz w:val="30"/>
          <w:szCs w:val="30"/>
        </w:rPr>
        <w:t>Sentiment and Trading Profitability</w:t>
      </w:r>
    </w:p>
    <w:p w14:paraId="3F52941F" w14:textId="77777777" w:rsidR="00381869" w:rsidRPr="00267816" w:rsidRDefault="00000000">
      <w:pPr>
        <w:pStyle w:val="Heading2"/>
        <w:spacing w:before="300" w:after="150"/>
        <w:rPr>
          <w:rFonts w:ascii="Times New Roman" w:hAnsi="Times New Roman" w:cs="Times New Roman"/>
          <w:color w:val="auto"/>
        </w:rPr>
      </w:pPr>
      <w:r w:rsidRPr="00267816">
        <w:rPr>
          <w:rFonts w:ascii="Times New Roman" w:hAnsi="Times New Roman" w:cs="Times New Roman"/>
          <w:b/>
          <w:bCs/>
          <w:color w:val="auto"/>
          <w:sz w:val="24"/>
          <w:szCs w:val="24"/>
        </w:rPr>
        <w:t>2.1 Average Daily PnL by Sentiment</w:t>
      </w:r>
    </w:p>
    <w:p w14:paraId="5E09438C" w14:textId="4548FE4E" w:rsidR="00381869" w:rsidRPr="00267816" w:rsidRDefault="00465545">
      <w:pPr>
        <w:spacing w:before="200" w:after="200"/>
        <w:jc w:val="center"/>
        <w:rPr>
          <w:rFonts w:ascii="Times New Roman" w:hAnsi="Times New Roman" w:cs="Times New Roman"/>
        </w:rPr>
      </w:pPr>
      <w:r w:rsidRPr="00267816">
        <w:rPr>
          <w:rFonts w:ascii="Times New Roman" w:hAnsi="Times New Roman" w:cs="Times New Roman"/>
          <w:noProof/>
        </w:rPr>
        <w:lastRenderedPageBreak/>
        <w:drawing>
          <wp:inline distT="0" distB="0" distL="0" distR="0" wp14:anchorId="13E26336" wp14:editId="4EEB02E7">
            <wp:extent cx="5788660" cy="3452440"/>
            <wp:effectExtent l="0" t="0" r="2540" b="0"/>
            <wp:docPr id="1778913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3545" cy="3455353"/>
                    </a:xfrm>
                    <a:prstGeom prst="rect">
                      <a:avLst/>
                    </a:prstGeom>
                    <a:noFill/>
                    <a:ln>
                      <a:noFill/>
                    </a:ln>
                  </pic:spPr>
                </pic:pic>
              </a:graphicData>
            </a:graphic>
          </wp:inline>
        </w:drawing>
      </w:r>
      <w:r w:rsidRPr="00267816">
        <w:rPr>
          <w:rFonts w:ascii="Times New Roman" w:hAnsi="Times New Roman" w:cs="Times New Roman"/>
          <w:noProof/>
        </w:rPr>
        <w:t xml:space="preserve"> </w:t>
      </w:r>
    </w:p>
    <w:p w14:paraId="29B0E9A2" w14:textId="18BA6DB4" w:rsidR="00381869" w:rsidRPr="00267816" w:rsidRDefault="00000000">
      <w:pPr>
        <w:spacing w:after="160"/>
        <w:rPr>
          <w:rFonts w:ascii="Times New Roman" w:hAnsi="Times New Roman" w:cs="Times New Roman"/>
        </w:rPr>
      </w:pPr>
      <w:r w:rsidRPr="00267816">
        <w:rPr>
          <w:rFonts w:ascii="Times New Roman" w:hAnsi="Times New Roman" w:cs="Times New Roman"/>
          <w:sz w:val="22"/>
          <w:szCs w:val="22"/>
        </w:rPr>
        <w:t>A Kruskal-Wallis test confirms the differences across sentiment classes are statistically significant (H = 20.76, p = 0.00035)</w:t>
      </w:r>
      <w:r w:rsidR="00465545" w:rsidRPr="00267816">
        <w:rPr>
          <w:rFonts w:ascii="Times New Roman" w:hAnsi="Times New Roman" w:cs="Times New Roman"/>
          <w:sz w:val="22"/>
          <w:szCs w:val="22"/>
        </w:rPr>
        <w:t xml:space="preserve">. </w:t>
      </w:r>
      <w:r w:rsidR="00267816" w:rsidRPr="00267816">
        <w:rPr>
          <w:rFonts w:ascii="Times New Roman" w:hAnsi="Times New Roman" w:cs="Times New Roman"/>
          <w:sz w:val="22"/>
          <w:szCs w:val="22"/>
        </w:rPr>
        <w:t>Therefore,</w:t>
      </w:r>
      <w:r w:rsidR="00465545" w:rsidRPr="00267816">
        <w:rPr>
          <w:rFonts w:ascii="Times New Roman" w:hAnsi="Times New Roman" w:cs="Times New Roman"/>
          <w:sz w:val="22"/>
          <w:szCs w:val="22"/>
        </w:rPr>
        <w:t xml:space="preserve"> it </w:t>
      </w:r>
      <w:r w:rsidRPr="00267816">
        <w:rPr>
          <w:rFonts w:ascii="Times New Roman" w:hAnsi="Times New Roman" w:cs="Times New Roman"/>
          <w:sz w:val="22"/>
          <w:szCs w:val="22"/>
        </w:rPr>
        <w:t>is not noise.</w:t>
      </w:r>
    </w:p>
    <w:p w14:paraId="02FFBC54" w14:textId="77777777" w:rsidR="00381869" w:rsidRPr="00267816" w:rsidRDefault="00000000">
      <w:pPr>
        <w:pStyle w:val="Heading2"/>
        <w:spacing w:before="300" w:after="150"/>
        <w:rPr>
          <w:rFonts w:ascii="Times New Roman" w:hAnsi="Times New Roman" w:cs="Times New Roman"/>
          <w:color w:val="auto"/>
        </w:rPr>
      </w:pPr>
      <w:r w:rsidRPr="00267816">
        <w:rPr>
          <w:rFonts w:ascii="Times New Roman" w:hAnsi="Times New Roman" w:cs="Times New Roman"/>
          <w:b/>
          <w:bCs/>
          <w:color w:val="auto"/>
          <w:sz w:val="24"/>
          <w:szCs w:val="24"/>
        </w:rPr>
        <w:t>2.2 Win Rate Tells a Different Story</w:t>
      </w:r>
    </w:p>
    <w:p w14:paraId="27E89924" w14:textId="1352C0D0" w:rsidR="00381869" w:rsidRPr="00267816" w:rsidRDefault="0042337F">
      <w:pPr>
        <w:spacing w:before="200" w:after="200"/>
        <w:jc w:val="center"/>
        <w:rPr>
          <w:rFonts w:ascii="Times New Roman" w:hAnsi="Times New Roman" w:cs="Times New Roman"/>
        </w:rPr>
      </w:pPr>
      <w:r w:rsidRPr="00267816">
        <w:rPr>
          <w:rFonts w:ascii="Times New Roman" w:hAnsi="Times New Roman" w:cs="Times New Roman"/>
          <w:noProof/>
        </w:rPr>
        <w:drawing>
          <wp:inline distT="0" distB="0" distL="0" distR="0" wp14:anchorId="0BC38709" wp14:editId="21B859EA">
            <wp:extent cx="5552440" cy="3311555"/>
            <wp:effectExtent l="0" t="0" r="0" b="3175"/>
            <wp:docPr id="2026045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7021" cy="3314287"/>
                    </a:xfrm>
                    <a:prstGeom prst="rect">
                      <a:avLst/>
                    </a:prstGeom>
                    <a:noFill/>
                    <a:ln>
                      <a:noFill/>
                    </a:ln>
                  </pic:spPr>
                </pic:pic>
              </a:graphicData>
            </a:graphic>
          </wp:inline>
        </w:drawing>
      </w:r>
      <w:r w:rsidRPr="00267816">
        <w:rPr>
          <w:rFonts w:ascii="Times New Roman" w:hAnsi="Times New Roman" w:cs="Times New Roman"/>
          <w:noProof/>
        </w:rPr>
        <w:t xml:space="preserve"> </w:t>
      </w:r>
    </w:p>
    <w:p w14:paraId="583E4DB7" w14:textId="3CB4076C" w:rsidR="00381869" w:rsidRPr="00267816" w:rsidRDefault="00000000">
      <w:pPr>
        <w:spacing w:after="160"/>
        <w:rPr>
          <w:rFonts w:ascii="Times New Roman" w:hAnsi="Times New Roman" w:cs="Times New Roman"/>
        </w:rPr>
      </w:pPr>
      <w:r w:rsidRPr="00267816">
        <w:rPr>
          <w:rFonts w:ascii="Times New Roman" w:hAnsi="Times New Roman" w:cs="Times New Roman"/>
          <w:b/>
          <w:bCs/>
          <w:sz w:val="22"/>
          <w:szCs w:val="22"/>
        </w:rPr>
        <w:t xml:space="preserve">Key insight:  </w:t>
      </w:r>
      <w:r w:rsidRPr="00267816">
        <w:rPr>
          <w:rFonts w:ascii="Times New Roman" w:hAnsi="Times New Roman" w:cs="Times New Roman"/>
          <w:sz w:val="22"/>
          <w:szCs w:val="22"/>
        </w:rPr>
        <w:t>Extreme Greed produces the highest win rate (38.8%) but a lower average profit than Extreme Fear. This means traders in Fear regimes win less often (36.7%) but capture much larger profits per win. Extreme Greed trades are more frequently correct but smaller in magnitude.</w:t>
      </w:r>
    </w:p>
    <w:p w14:paraId="69383A5F" w14:textId="77777777" w:rsidR="00381869" w:rsidRPr="00267816" w:rsidRDefault="00000000">
      <w:pPr>
        <w:pStyle w:val="Heading1"/>
        <w:spacing w:before="400" w:after="200"/>
        <w:rPr>
          <w:rFonts w:ascii="Times New Roman" w:hAnsi="Times New Roman" w:cs="Times New Roman"/>
          <w:color w:val="auto"/>
        </w:rPr>
      </w:pPr>
      <w:r w:rsidRPr="00267816">
        <w:rPr>
          <w:rFonts w:ascii="Times New Roman" w:hAnsi="Times New Roman" w:cs="Times New Roman"/>
          <w:b/>
          <w:bCs/>
          <w:color w:val="auto"/>
          <w:sz w:val="30"/>
          <w:szCs w:val="30"/>
        </w:rPr>
        <w:lastRenderedPageBreak/>
        <w:t>3. Risk-Taking Across Sentiment Regimes</w:t>
      </w:r>
    </w:p>
    <w:p w14:paraId="2D2446FF" w14:textId="50FE207D" w:rsidR="00381869" w:rsidRPr="00267816" w:rsidRDefault="0042337F">
      <w:pPr>
        <w:spacing w:before="200" w:after="200"/>
        <w:jc w:val="center"/>
        <w:rPr>
          <w:rFonts w:ascii="Times New Roman" w:hAnsi="Times New Roman" w:cs="Times New Roman"/>
        </w:rPr>
      </w:pPr>
      <w:r w:rsidRPr="00267816">
        <w:rPr>
          <w:rFonts w:ascii="Times New Roman" w:hAnsi="Times New Roman" w:cs="Times New Roman"/>
          <w:noProof/>
        </w:rPr>
        <w:drawing>
          <wp:inline distT="0" distB="0" distL="0" distR="0" wp14:anchorId="58976617" wp14:editId="6D690C50">
            <wp:extent cx="6375400" cy="3699510"/>
            <wp:effectExtent l="0" t="0" r="6350" b="0"/>
            <wp:docPr id="342860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5400" cy="3699510"/>
                    </a:xfrm>
                    <a:prstGeom prst="rect">
                      <a:avLst/>
                    </a:prstGeom>
                    <a:noFill/>
                    <a:ln>
                      <a:noFill/>
                    </a:ln>
                  </pic:spPr>
                </pic:pic>
              </a:graphicData>
            </a:graphic>
          </wp:inline>
        </w:drawing>
      </w:r>
      <w:r w:rsidRPr="00267816">
        <w:rPr>
          <w:rFonts w:ascii="Times New Roman" w:hAnsi="Times New Roman" w:cs="Times New Roman"/>
          <w:noProof/>
        </w:rPr>
        <w:t xml:space="preserve"> </w:t>
      </w:r>
    </w:p>
    <w:p w14:paraId="7036F968" w14:textId="77777777" w:rsidR="0042337F" w:rsidRPr="00267816" w:rsidRDefault="0042337F">
      <w:pPr>
        <w:spacing w:after="160"/>
        <w:rPr>
          <w:rFonts w:ascii="Times New Roman" w:hAnsi="Times New Roman" w:cs="Times New Roman"/>
          <w:sz w:val="22"/>
          <w:szCs w:val="22"/>
        </w:rPr>
      </w:pPr>
      <w:r w:rsidRPr="00267816">
        <w:rPr>
          <w:rFonts w:ascii="Times New Roman" w:hAnsi="Times New Roman" w:cs="Times New Roman"/>
          <w:sz w:val="22"/>
          <w:szCs w:val="22"/>
        </w:rPr>
        <w:t>The results show that traders do not use the most leverage during Extreme Greed as expected. Instead, high-leverage trading is highest during normal Greed (25.3%), while it drops during Extreme Greed (19.1%) and is similar to Extreme Fear (18.1%). Statistical testing (Chi-square test) shows this difference is unlikely to be due to chance.</w:t>
      </w:r>
    </w:p>
    <w:p w14:paraId="018E109A" w14:textId="77777777" w:rsidR="0042337F" w:rsidRPr="00267816" w:rsidRDefault="00000000" w:rsidP="0042337F">
      <w:pPr>
        <w:spacing w:after="160"/>
        <w:rPr>
          <w:rFonts w:ascii="Times New Roman" w:hAnsi="Times New Roman" w:cs="Times New Roman"/>
          <w:sz w:val="22"/>
          <w:szCs w:val="22"/>
        </w:rPr>
      </w:pPr>
      <w:r w:rsidRPr="00267816">
        <w:rPr>
          <w:rFonts w:ascii="Times New Roman" w:hAnsi="Times New Roman" w:cs="Times New Roman"/>
          <w:b/>
          <w:bCs/>
          <w:sz w:val="22"/>
          <w:szCs w:val="22"/>
        </w:rPr>
        <w:t xml:space="preserve">Interpretation:  </w:t>
      </w:r>
      <w:r w:rsidR="0042337F" w:rsidRPr="00267816">
        <w:rPr>
          <w:rFonts w:ascii="Times New Roman" w:hAnsi="Times New Roman" w:cs="Times New Roman"/>
          <w:sz w:val="22"/>
          <w:szCs w:val="22"/>
        </w:rPr>
        <w:t>When the market reaches Extreme Greed, some traders may become more careful because they feel the market has already risen too much and could reverse soon. But during ordinary Greed, traders still feel confident and safe taking bigger risks. This makes regular bullish markets the period where traders tend to take the most excessive risk, rather than during obvious market excitement.</w:t>
      </w:r>
    </w:p>
    <w:p w14:paraId="52D566D4" w14:textId="77777777" w:rsidR="0042337F" w:rsidRPr="00267816" w:rsidRDefault="0042337F" w:rsidP="0042337F">
      <w:pPr>
        <w:spacing w:after="160"/>
        <w:rPr>
          <w:rFonts w:ascii="Times New Roman" w:hAnsi="Times New Roman" w:cs="Times New Roman"/>
          <w:sz w:val="22"/>
          <w:szCs w:val="22"/>
        </w:rPr>
      </w:pPr>
    </w:p>
    <w:p w14:paraId="464D8C18" w14:textId="421FA3A2" w:rsidR="00381869" w:rsidRPr="00267816" w:rsidRDefault="00000000" w:rsidP="0042337F">
      <w:pPr>
        <w:spacing w:after="160"/>
        <w:rPr>
          <w:rFonts w:ascii="Times New Roman" w:hAnsi="Times New Roman" w:cs="Times New Roman"/>
        </w:rPr>
      </w:pPr>
      <w:r w:rsidRPr="00267816">
        <w:rPr>
          <w:rFonts w:ascii="Times New Roman" w:hAnsi="Times New Roman" w:cs="Times New Roman"/>
          <w:b/>
          <w:bCs/>
          <w:sz w:val="30"/>
          <w:szCs w:val="30"/>
        </w:rPr>
        <w:t>4. Does Sentiment Predict Future Performance?</w:t>
      </w:r>
    </w:p>
    <w:p w14:paraId="28044D10" w14:textId="77777777" w:rsidR="00381869" w:rsidRPr="00267816" w:rsidRDefault="00000000">
      <w:pPr>
        <w:spacing w:after="160"/>
        <w:rPr>
          <w:rFonts w:ascii="Times New Roman" w:hAnsi="Times New Roman" w:cs="Times New Roman"/>
        </w:rPr>
      </w:pPr>
      <w:r w:rsidRPr="00267816">
        <w:rPr>
          <w:rFonts w:ascii="Times New Roman" w:hAnsi="Times New Roman" w:cs="Times New Roman"/>
          <w:sz w:val="22"/>
          <w:szCs w:val="22"/>
        </w:rPr>
        <w:t>To test whether sentiment's effect persists beyond the same day, daily PnL was compared against sentiment lagged by 1, 3, and 7 days.</w:t>
      </w:r>
    </w:p>
    <w:p w14:paraId="480D1835" w14:textId="77777777" w:rsidR="00381869" w:rsidRPr="00267816" w:rsidRDefault="00000000">
      <w:pPr>
        <w:spacing w:before="200" w:after="200"/>
        <w:jc w:val="center"/>
        <w:rPr>
          <w:rFonts w:ascii="Times New Roman" w:hAnsi="Times New Roman" w:cs="Times New Roman"/>
        </w:rPr>
      </w:pPr>
      <w:r w:rsidRPr="00267816">
        <w:rPr>
          <w:rFonts w:ascii="Times New Roman" w:hAnsi="Times New Roman" w:cs="Times New Roman"/>
          <w:noProof/>
        </w:rPr>
        <w:lastRenderedPageBreak/>
        <w:drawing>
          <wp:inline distT="0" distB="0" distL="0" distR="0" wp14:anchorId="3B0E3351" wp14:editId="2AD389A9">
            <wp:extent cx="4095750" cy="2476500"/>
            <wp:effectExtent l="0" t="0" r="0" b="0"/>
            <wp:docPr id="1432672390" name="Picture 143267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476500"/>
                    </a:xfrm>
                    <a:prstGeom prst="rect">
                      <a:avLst/>
                    </a:prstGeom>
                  </pic:spPr>
                </pic:pic>
              </a:graphicData>
            </a:graphic>
          </wp:inline>
        </w:drawing>
      </w:r>
    </w:p>
    <w:p w14:paraId="2D893857" w14:textId="77777777" w:rsidR="00381869" w:rsidRPr="00267816" w:rsidRDefault="00000000">
      <w:pPr>
        <w:pStyle w:val="Heading2"/>
        <w:spacing w:before="300" w:after="150"/>
        <w:rPr>
          <w:rFonts w:ascii="Times New Roman" w:hAnsi="Times New Roman" w:cs="Times New Roman"/>
          <w:color w:val="auto"/>
        </w:rPr>
      </w:pPr>
      <w:r w:rsidRPr="00267816">
        <w:rPr>
          <w:rFonts w:ascii="Times New Roman" w:hAnsi="Times New Roman" w:cs="Times New Roman"/>
          <w:b/>
          <w:bCs/>
          <w:color w:val="auto"/>
          <w:sz w:val="24"/>
          <w:szCs w:val="24"/>
        </w:rPr>
        <w:t>4.1 Mean vs. Median: The Critical Nuance</w:t>
      </w:r>
    </w:p>
    <w:p w14:paraId="04432711" w14:textId="53C396E4" w:rsidR="00381869" w:rsidRPr="00267816" w:rsidRDefault="00457D94">
      <w:pPr>
        <w:spacing w:before="200" w:after="200"/>
        <w:jc w:val="center"/>
        <w:rPr>
          <w:rFonts w:ascii="Times New Roman" w:hAnsi="Times New Roman" w:cs="Times New Roman"/>
        </w:rPr>
      </w:pPr>
      <w:r w:rsidRPr="00267816">
        <w:rPr>
          <w:rFonts w:ascii="Times New Roman" w:hAnsi="Times New Roman" w:cs="Times New Roman"/>
          <w:noProof/>
        </w:rPr>
        <w:drawing>
          <wp:inline distT="0" distB="0" distL="0" distR="0" wp14:anchorId="0896DBB4" wp14:editId="59C2B7E2">
            <wp:extent cx="5134463" cy="2979420"/>
            <wp:effectExtent l="0" t="0" r="9525" b="0"/>
            <wp:docPr id="1700514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1845" cy="2983703"/>
                    </a:xfrm>
                    <a:prstGeom prst="rect">
                      <a:avLst/>
                    </a:prstGeom>
                    <a:noFill/>
                    <a:ln>
                      <a:noFill/>
                    </a:ln>
                  </pic:spPr>
                </pic:pic>
              </a:graphicData>
            </a:graphic>
          </wp:inline>
        </w:drawing>
      </w:r>
      <w:r w:rsidRPr="00267816">
        <w:rPr>
          <w:rFonts w:ascii="Times New Roman" w:hAnsi="Times New Roman" w:cs="Times New Roman"/>
          <w:noProof/>
        </w:rPr>
        <w:t xml:space="preserve"> </w:t>
      </w:r>
    </w:p>
    <w:p w14:paraId="1F3E7944" w14:textId="51FD7485" w:rsidR="00381869" w:rsidRPr="00267816" w:rsidRDefault="00381869">
      <w:pPr>
        <w:spacing w:after="300"/>
        <w:jc w:val="center"/>
        <w:rPr>
          <w:rFonts w:ascii="Times New Roman" w:hAnsi="Times New Roman" w:cs="Times New Roman"/>
        </w:rPr>
      </w:pPr>
    </w:p>
    <w:p w14:paraId="4690366D" w14:textId="56A21E51" w:rsidR="00457D94" w:rsidRPr="00267816" w:rsidRDefault="00457D94" w:rsidP="00457D94">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This is the most important finding of the study: average daily profit (mean PnL) is much higher than median profit in every sentiment category. For example, during Extreme Fear, the average profit is $6,621, but the median profit is only $262. More importantly, the ranking changes depending on which measure is used.</w:t>
      </w:r>
    </w:p>
    <w:p w14:paraId="719F20CE" w14:textId="2471EBE2" w:rsidR="00457D94" w:rsidRPr="00267816" w:rsidRDefault="00457D94" w:rsidP="00457D94">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Using the mean, Extreme Fear appears to be the most profitable condition. But using the median (which better reflects a typical trader), Extreme Greed ($354) slightly outperforms Extreme Fear ($262), while Fear ($95) has the lowest typical profit.</w:t>
      </w:r>
    </w:p>
    <w:p w14:paraId="0E9429C7" w14:textId="41730A81" w:rsidR="00457D94" w:rsidRPr="00267816" w:rsidRDefault="00457D94" w:rsidP="00457D94">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This suggests there are two groups of traders in the dataset: a small number of high-conviction traders earn very large profits during Fear periods and strongly increase the average, while most traders achieve only slightly better results during Greed conditions.</w:t>
      </w:r>
    </w:p>
    <w:p w14:paraId="3707ACD1" w14:textId="7566C2B0" w:rsidR="00457D94" w:rsidRPr="00267816" w:rsidRDefault="00457D94" w:rsidP="00457D94">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lastRenderedPageBreak/>
        <w:t>The standard deviation is also 5–10 times larger than the average profit, showing that results are heavily influenced by a few large traders (“whales”) rather than a consistent effect across all traders.</w:t>
      </w:r>
    </w:p>
    <w:p w14:paraId="63E4ABDD" w14:textId="77777777" w:rsidR="00457D94" w:rsidRPr="00267816" w:rsidRDefault="00457D94" w:rsidP="00457D94">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At longer time gaps (3 and 7 days), this distortion becomes even stronger and results become less stable. Therefore, sentiment effects beyond 1 day should be treated as general indications, not firm conclusions.</w:t>
      </w:r>
    </w:p>
    <w:p w14:paraId="747DE066" w14:textId="38B71D1D" w:rsidR="00381869" w:rsidRPr="00267816" w:rsidRDefault="00000000" w:rsidP="00457D94">
      <w:pPr>
        <w:pStyle w:val="Heading1"/>
        <w:spacing w:before="400" w:after="200"/>
        <w:rPr>
          <w:rFonts w:ascii="Times New Roman" w:hAnsi="Times New Roman" w:cs="Times New Roman"/>
          <w:color w:val="auto"/>
        </w:rPr>
      </w:pPr>
      <w:r w:rsidRPr="00267816">
        <w:rPr>
          <w:rFonts w:ascii="Times New Roman" w:hAnsi="Times New Roman" w:cs="Times New Roman"/>
          <w:b/>
          <w:bCs/>
          <w:color w:val="auto"/>
          <w:sz w:val="30"/>
          <w:szCs w:val="30"/>
        </w:rPr>
        <w:t>5. Trader Archetypes: Behavioral Segmentation</w:t>
      </w:r>
    </w:p>
    <w:p w14:paraId="2D156FB8" w14:textId="33858CC0" w:rsidR="00457D94" w:rsidRPr="00267816" w:rsidRDefault="00457D94" w:rsidP="00457D94">
      <w:pPr>
        <w:spacing w:after="160"/>
        <w:rPr>
          <w:rFonts w:ascii="Times New Roman" w:hAnsi="Times New Roman" w:cs="Times New Roman"/>
          <w:sz w:val="22"/>
          <w:szCs w:val="22"/>
        </w:rPr>
      </w:pPr>
      <w:r w:rsidRPr="00267816">
        <w:rPr>
          <w:rFonts w:ascii="Times New Roman" w:hAnsi="Times New Roman" w:cs="Times New Roman"/>
          <w:sz w:val="22"/>
          <w:szCs w:val="22"/>
        </w:rPr>
        <w:t>Trader accounts were grouped into 5 clusters using k-means clustering after standardizing the data. The grouping was based on three factors: overall profit/loss (net PnL), consistency in trade size (measured relative to each trader’s usual trade size), and how their win rate changed between Fear and Greed market conditions.</w:t>
      </w:r>
      <w:r w:rsidRPr="00267816">
        <w:rPr>
          <w:rFonts w:ascii="Times New Roman" w:hAnsi="Times New Roman" w:cs="Times New Roman"/>
          <w:sz w:val="22"/>
          <w:szCs w:val="22"/>
        </w:rPr>
        <w:t xml:space="preserve"> </w:t>
      </w:r>
      <w:r w:rsidRPr="00267816">
        <w:rPr>
          <w:rFonts w:ascii="Times New Roman" w:hAnsi="Times New Roman" w:cs="Times New Roman"/>
          <w:sz w:val="22"/>
          <w:szCs w:val="22"/>
        </w:rPr>
        <w:t>To decide the number of groups, silhouette analysis was used. The results showed that 5 clusters was a reasonable choice. Although 6 clusters gave a slightly higher score (0.242 vs. 0.230), the improvement was too small to justify adding another group.</w:t>
      </w:r>
    </w:p>
    <w:p w14:paraId="1C169EFF" w14:textId="025AB19D" w:rsidR="00381869" w:rsidRDefault="00457D94" w:rsidP="00457D94">
      <w:pPr>
        <w:spacing w:after="160"/>
        <w:rPr>
          <w:rFonts w:ascii="Times New Roman" w:hAnsi="Times New Roman" w:cs="Times New Roman"/>
          <w:sz w:val="22"/>
          <w:szCs w:val="22"/>
        </w:rPr>
      </w:pPr>
      <w:r w:rsidRPr="00267816">
        <w:rPr>
          <w:rFonts w:ascii="Times New Roman" w:hAnsi="Times New Roman" w:cs="Times New Roman"/>
          <w:sz w:val="22"/>
          <w:szCs w:val="22"/>
        </w:rPr>
        <w:t>In simple terms, the analysis found that traders can be divided into five meaningful behavior patterns, without making the model unnecessarily complex.</w:t>
      </w:r>
    </w:p>
    <w:p w14:paraId="31441736" w14:textId="77777777" w:rsidR="00267816" w:rsidRPr="00267816" w:rsidRDefault="00267816" w:rsidP="00457D94">
      <w:pPr>
        <w:spacing w:after="1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989"/>
        <w:gridCol w:w="1284"/>
        <w:gridCol w:w="1281"/>
        <w:gridCol w:w="1285"/>
        <w:gridCol w:w="1185"/>
        <w:gridCol w:w="2077"/>
      </w:tblGrid>
      <w:tr w:rsidR="00381869" w:rsidRPr="00267816" w14:paraId="1975467A" w14:textId="77777777">
        <w:tblPrEx>
          <w:tblCellMar>
            <w:top w:w="0" w:type="dxa"/>
            <w:bottom w:w="0" w:type="dxa"/>
          </w:tblCellMar>
        </w:tblPrEx>
        <w:tc>
          <w:tcPr>
            <w:tcW w:w="900" w:type="dxa"/>
            <w:shd w:val="clear" w:color="auto" w:fill="1B263B"/>
            <w:tcMar>
              <w:top w:w="80" w:type="dxa"/>
              <w:left w:w="100" w:type="dxa"/>
              <w:bottom w:w="80" w:type="dxa"/>
              <w:right w:w="100" w:type="dxa"/>
            </w:tcMar>
          </w:tcPr>
          <w:p w14:paraId="2ADE4C84" w14:textId="77777777" w:rsidR="00381869" w:rsidRPr="00267816" w:rsidRDefault="00000000">
            <w:pPr>
              <w:jc w:val="center"/>
              <w:rPr>
                <w:rFonts w:ascii="Times New Roman" w:hAnsi="Times New Roman" w:cs="Times New Roman"/>
              </w:rPr>
            </w:pPr>
            <w:r w:rsidRPr="00267816">
              <w:rPr>
                <w:rFonts w:ascii="Times New Roman" w:hAnsi="Times New Roman" w:cs="Times New Roman"/>
                <w:b/>
                <w:bCs/>
              </w:rPr>
              <w:t>Cluster</w:t>
            </w:r>
          </w:p>
        </w:tc>
        <w:tc>
          <w:tcPr>
            <w:tcW w:w="900" w:type="dxa"/>
            <w:shd w:val="clear" w:color="auto" w:fill="1B263B"/>
            <w:tcMar>
              <w:top w:w="80" w:type="dxa"/>
              <w:left w:w="100" w:type="dxa"/>
              <w:bottom w:w="80" w:type="dxa"/>
              <w:right w:w="100" w:type="dxa"/>
            </w:tcMar>
          </w:tcPr>
          <w:p w14:paraId="2D2A406B" w14:textId="77777777" w:rsidR="00381869" w:rsidRPr="00267816" w:rsidRDefault="00000000">
            <w:pPr>
              <w:jc w:val="center"/>
              <w:rPr>
                <w:rFonts w:ascii="Times New Roman" w:hAnsi="Times New Roman" w:cs="Times New Roman"/>
              </w:rPr>
            </w:pPr>
            <w:r w:rsidRPr="00267816">
              <w:rPr>
                <w:rFonts w:ascii="Times New Roman" w:hAnsi="Times New Roman" w:cs="Times New Roman"/>
                <w:b/>
                <w:bCs/>
              </w:rPr>
              <w:t>Accounts</w:t>
            </w:r>
          </w:p>
        </w:tc>
        <w:tc>
          <w:tcPr>
            <w:tcW w:w="1300" w:type="dxa"/>
            <w:shd w:val="clear" w:color="auto" w:fill="1B263B"/>
            <w:tcMar>
              <w:top w:w="80" w:type="dxa"/>
              <w:left w:w="100" w:type="dxa"/>
              <w:bottom w:w="80" w:type="dxa"/>
              <w:right w:w="100" w:type="dxa"/>
            </w:tcMar>
          </w:tcPr>
          <w:p w14:paraId="48F601E4" w14:textId="77777777" w:rsidR="00381869" w:rsidRPr="00267816" w:rsidRDefault="00000000">
            <w:pPr>
              <w:jc w:val="center"/>
              <w:rPr>
                <w:rFonts w:ascii="Times New Roman" w:hAnsi="Times New Roman" w:cs="Times New Roman"/>
              </w:rPr>
            </w:pPr>
            <w:r w:rsidRPr="00267816">
              <w:rPr>
                <w:rFonts w:ascii="Times New Roman" w:hAnsi="Times New Roman" w:cs="Times New Roman"/>
                <w:b/>
                <w:bCs/>
              </w:rPr>
              <w:t>Net PnL (avg)</w:t>
            </w:r>
          </w:p>
        </w:tc>
        <w:tc>
          <w:tcPr>
            <w:tcW w:w="1300" w:type="dxa"/>
            <w:shd w:val="clear" w:color="auto" w:fill="1B263B"/>
            <w:tcMar>
              <w:top w:w="80" w:type="dxa"/>
              <w:left w:w="100" w:type="dxa"/>
              <w:bottom w:w="80" w:type="dxa"/>
              <w:right w:w="100" w:type="dxa"/>
            </w:tcMar>
          </w:tcPr>
          <w:p w14:paraId="20B36A70" w14:textId="77777777" w:rsidR="00381869" w:rsidRPr="00267816" w:rsidRDefault="00000000">
            <w:pPr>
              <w:jc w:val="center"/>
              <w:rPr>
                <w:rFonts w:ascii="Times New Roman" w:hAnsi="Times New Roman" w:cs="Times New Roman"/>
              </w:rPr>
            </w:pPr>
            <w:r w:rsidRPr="00267816">
              <w:rPr>
                <w:rFonts w:ascii="Times New Roman" w:hAnsi="Times New Roman" w:cs="Times New Roman"/>
                <w:b/>
                <w:bCs/>
              </w:rPr>
              <w:t>Win Rate (Fear)</w:t>
            </w:r>
          </w:p>
        </w:tc>
        <w:tc>
          <w:tcPr>
            <w:tcW w:w="1300" w:type="dxa"/>
            <w:shd w:val="clear" w:color="auto" w:fill="1B263B"/>
            <w:tcMar>
              <w:top w:w="80" w:type="dxa"/>
              <w:left w:w="100" w:type="dxa"/>
              <w:bottom w:w="80" w:type="dxa"/>
              <w:right w:w="100" w:type="dxa"/>
            </w:tcMar>
          </w:tcPr>
          <w:p w14:paraId="1E06FFAA" w14:textId="77777777" w:rsidR="00381869" w:rsidRPr="00267816" w:rsidRDefault="00000000">
            <w:pPr>
              <w:jc w:val="center"/>
              <w:rPr>
                <w:rFonts w:ascii="Times New Roman" w:hAnsi="Times New Roman" w:cs="Times New Roman"/>
              </w:rPr>
            </w:pPr>
            <w:r w:rsidRPr="00267816">
              <w:rPr>
                <w:rFonts w:ascii="Times New Roman" w:hAnsi="Times New Roman" w:cs="Times New Roman"/>
                <w:b/>
                <w:bCs/>
              </w:rPr>
              <w:t>Win Rate (Greed)</w:t>
            </w:r>
          </w:p>
        </w:tc>
        <w:tc>
          <w:tcPr>
            <w:tcW w:w="1200" w:type="dxa"/>
            <w:shd w:val="clear" w:color="auto" w:fill="1B263B"/>
            <w:tcMar>
              <w:top w:w="80" w:type="dxa"/>
              <w:left w:w="100" w:type="dxa"/>
              <w:bottom w:w="80" w:type="dxa"/>
              <w:right w:w="100" w:type="dxa"/>
            </w:tcMar>
          </w:tcPr>
          <w:p w14:paraId="0D8AE059" w14:textId="77777777" w:rsidR="00381869" w:rsidRPr="00267816" w:rsidRDefault="00000000">
            <w:pPr>
              <w:jc w:val="center"/>
              <w:rPr>
                <w:rFonts w:ascii="Times New Roman" w:hAnsi="Times New Roman" w:cs="Times New Roman"/>
              </w:rPr>
            </w:pPr>
            <w:r w:rsidRPr="00267816">
              <w:rPr>
                <w:rFonts w:ascii="Times New Roman" w:hAnsi="Times New Roman" w:cs="Times New Roman"/>
                <w:b/>
                <w:bCs/>
              </w:rPr>
              <w:t>Fear–Greed Gap</w:t>
            </w:r>
          </w:p>
        </w:tc>
        <w:tc>
          <w:tcPr>
            <w:tcW w:w="2100" w:type="dxa"/>
            <w:shd w:val="clear" w:color="auto" w:fill="1B263B"/>
            <w:tcMar>
              <w:top w:w="80" w:type="dxa"/>
              <w:left w:w="100" w:type="dxa"/>
              <w:bottom w:w="80" w:type="dxa"/>
              <w:right w:w="100" w:type="dxa"/>
            </w:tcMar>
          </w:tcPr>
          <w:p w14:paraId="23CD63AA" w14:textId="77777777" w:rsidR="00381869" w:rsidRPr="00267816" w:rsidRDefault="00000000">
            <w:pPr>
              <w:jc w:val="center"/>
              <w:rPr>
                <w:rFonts w:ascii="Times New Roman" w:hAnsi="Times New Roman" w:cs="Times New Roman"/>
              </w:rPr>
            </w:pPr>
            <w:r w:rsidRPr="00267816">
              <w:rPr>
                <w:rFonts w:ascii="Times New Roman" w:hAnsi="Times New Roman" w:cs="Times New Roman"/>
                <w:b/>
                <w:bCs/>
              </w:rPr>
              <w:t>Archetype</w:t>
            </w:r>
          </w:p>
        </w:tc>
      </w:tr>
      <w:tr w:rsidR="00381869" w:rsidRPr="00267816" w14:paraId="21FB67C5"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431D885E" w14:textId="77777777" w:rsidR="00381869" w:rsidRPr="00267816" w:rsidRDefault="00000000">
            <w:pPr>
              <w:rPr>
                <w:rFonts w:ascii="Times New Roman" w:hAnsi="Times New Roman" w:cs="Times New Roman"/>
              </w:rPr>
            </w:pPr>
            <w:r w:rsidRPr="00267816">
              <w:rPr>
                <w:rFonts w:ascii="Times New Roman" w:hAnsi="Times New Roman" w:cs="Times New Roman"/>
              </w:rPr>
              <w:t>3</w:t>
            </w:r>
          </w:p>
        </w:tc>
        <w:tc>
          <w:tcPr>
            <w:tcW w:w="900" w:type="dxa"/>
            <w:shd w:val="clear" w:color="auto" w:fill="FFFFFF"/>
            <w:tcMar>
              <w:top w:w="80" w:type="dxa"/>
              <w:left w:w="100" w:type="dxa"/>
              <w:bottom w:w="80" w:type="dxa"/>
              <w:right w:w="100" w:type="dxa"/>
            </w:tcMar>
          </w:tcPr>
          <w:p w14:paraId="5F055404"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2</w:t>
            </w:r>
          </w:p>
        </w:tc>
        <w:tc>
          <w:tcPr>
            <w:tcW w:w="1300" w:type="dxa"/>
            <w:shd w:val="clear" w:color="auto" w:fill="FFFFFF"/>
            <w:tcMar>
              <w:top w:w="80" w:type="dxa"/>
              <w:left w:w="100" w:type="dxa"/>
              <w:bottom w:w="80" w:type="dxa"/>
              <w:right w:w="100" w:type="dxa"/>
            </w:tcMar>
          </w:tcPr>
          <w:p w14:paraId="6A74FD6F"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$1.86M</w:t>
            </w:r>
          </w:p>
        </w:tc>
        <w:tc>
          <w:tcPr>
            <w:tcW w:w="1300" w:type="dxa"/>
            <w:shd w:val="clear" w:color="auto" w:fill="FFFFFF"/>
            <w:tcMar>
              <w:top w:w="80" w:type="dxa"/>
              <w:left w:w="100" w:type="dxa"/>
              <w:bottom w:w="80" w:type="dxa"/>
              <w:right w:w="100" w:type="dxa"/>
            </w:tcMar>
          </w:tcPr>
          <w:p w14:paraId="252B7F51"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38.4%</w:t>
            </w:r>
          </w:p>
        </w:tc>
        <w:tc>
          <w:tcPr>
            <w:tcW w:w="1300" w:type="dxa"/>
            <w:shd w:val="clear" w:color="auto" w:fill="FFFFFF"/>
            <w:tcMar>
              <w:top w:w="80" w:type="dxa"/>
              <w:left w:w="100" w:type="dxa"/>
              <w:bottom w:w="80" w:type="dxa"/>
              <w:right w:w="100" w:type="dxa"/>
            </w:tcMar>
          </w:tcPr>
          <w:p w14:paraId="10C000CC"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25.1%</w:t>
            </w:r>
          </w:p>
        </w:tc>
        <w:tc>
          <w:tcPr>
            <w:tcW w:w="1200" w:type="dxa"/>
            <w:shd w:val="clear" w:color="auto" w:fill="FFFFFF"/>
            <w:tcMar>
              <w:top w:w="80" w:type="dxa"/>
              <w:left w:w="100" w:type="dxa"/>
              <w:bottom w:w="80" w:type="dxa"/>
              <w:right w:w="100" w:type="dxa"/>
            </w:tcMar>
          </w:tcPr>
          <w:p w14:paraId="30EB58B1"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+0.134</w:t>
            </w:r>
          </w:p>
        </w:tc>
        <w:tc>
          <w:tcPr>
            <w:tcW w:w="2100" w:type="dxa"/>
            <w:shd w:val="clear" w:color="auto" w:fill="FFFFFF"/>
            <w:tcMar>
              <w:top w:w="80" w:type="dxa"/>
              <w:left w:w="100" w:type="dxa"/>
              <w:bottom w:w="80" w:type="dxa"/>
              <w:right w:w="100" w:type="dxa"/>
            </w:tcMar>
          </w:tcPr>
          <w:p w14:paraId="4FB65C2F"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Fear Whales</w:t>
            </w:r>
          </w:p>
        </w:tc>
      </w:tr>
      <w:tr w:rsidR="00381869" w:rsidRPr="00267816" w14:paraId="5765DFED" w14:textId="77777777">
        <w:tblPrEx>
          <w:tblCellMar>
            <w:top w:w="0" w:type="dxa"/>
            <w:bottom w:w="0" w:type="dxa"/>
          </w:tblCellMar>
        </w:tblPrEx>
        <w:tc>
          <w:tcPr>
            <w:tcW w:w="900" w:type="dxa"/>
            <w:shd w:val="clear" w:color="auto" w:fill="F1F5F3"/>
            <w:tcMar>
              <w:top w:w="80" w:type="dxa"/>
              <w:left w:w="100" w:type="dxa"/>
              <w:bottom w:w="80" w:type="dxa"/>
              <w:right w:w="100" w:type="dxa"/>
            </w:tcMar>
          </w:tcPr>
          <w:p w14:paraId="44C8AB3C" w14:textId="77777777" w:rsidR="00381869" w:rsidRPr="00267816" w:rsidRDefault="00000000">
            <w:pPr>
              <w:rPr>
                <w:rFonts w:ascii="Times New Roman" w:hAnsi="Times New Roman" w:cs="Times New Roman"/>
              </w:rPr>
            </w:pPr>
            <w:r w:rsidRPr="00267816">
              <w:rPr>
                <w:rFonts w:ascii="Times New Roman" w:hAnsi="Times New Roman" w:cs="Times New Roman"/>
              </w:rPr>
              <w:t>0</w:t>
            </w:r>
          </w:p>
        </w:tc>
        <w:tc>
          <w:tcPr>
            <w:tcW w:w="900" w:type="dxa"/>
            <w:shd w:val="clear" w:color="auto" w:fill="F1F5F3"/>
            <w:tcMar>
              <w:top w:w="80" w:type="dxa"/>
              <w:left w:w="100" w:type="dxa"/>
              <w:bottom w:w="80" w:type="dxa"/>
              <w:right w:w="100" w:type="dxa"/>
            </w:tcMar>
          </w:tcPr>
          <w:p w14:paraId="615DFF40"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2</w:t>
            </w:r>
          </w:p>
        </w:tc>
        <w:tc>
          <w:tcPr>
            <w:tcW w:w="1300" w:type="dxa"/>
            <w:shd w:val="clear" w:color="auto" w:fill="F1F5F3"/>
            <w:tcMar>
              <w:top w:w="80" w:type="dxa"/>
              <w:left w:w="100" w:type="dxa"/>
              <w:bottom w:w="80" w:type="dxa"/>
              <w:right w:w="100" w:type="dxa"/>
            </w:tcMar>
          </w:tcPr>
          <w:p w14:paraId="6E162E03"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$654K</w:t>
            </w:r>
          </w:p>
        </w:tc>
        <w:tc>
          <w:tcPr>
            <w:tcW w:w="1300" w:type="dxa"/>
            <w:shd w:val="clear" w:color="auto" w:fill="F1F5F3"/>
            <w:tcMar>
              <w:top w:w="80" w:type="dxa"/>
              <w:left w:w="100" w:type="dxa"/>
              <w:bottom w:w="80" w:type="dxa"/>
              <w:right w:w="100" w:type="dxa"/>
            </w:tcMar>
          </w:tcPr>
          <w:p w14:paraId="63F01B47"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63.3%</w:t>
            </w:r>
          </w:p>
        </w:tc>
        <w:tc>
          <w:tcPr>
            <w:tcW w:w="1300" w:type="dxa"/>
            <w:shd w:val="clear" w:color="auto" w:fill="F1F5F3"/>
            <w:tcMar>
              <w:top w:w="80" w:type="dxa"/>
              <w:left w:w="100" w:type="dxa"/>
              <w:bottom w:w="80" w:type="dxa"/>
              <w:right w:w="100" w:type="dxa"/>
            </w:tcMar>
          </w:tcPr>
          <w:p w14:paraId="0D536C1B"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71.5%</w:t>
            </w:r>
          </w:p>
        </w:tc>
        <w:tc>
          <w:tcPr>
            <w:tcW w:w="1200" w:type="dxa"/>
            <w:shd w:val="clear" w:color="auto" w:fill="F1F5F3"/>
            <w:tcMar>
              <w:top w:w="80" w:type="dxa"/>
              <w:left w:w="100" w:type="dxa"/>
              <w:bottom w:w="80" w:type="dxa"/>
              <w:right w:w="100" w:type="dxa"/>
            </w:tcMar>
          </w:tcPr>
          <w:p w14:paraId="5466FE35"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-0.083</w:t>
            </w:r>
          </w:p>
        </w:tc>
        <w:tc>
          <w:tcPr>
            <w:tcW w:w="2100" w:type="dxa"/>
            <w:shd w:val="clear" w:color="auto" w:fill="F1F5F3"/>
            <w:tcMar>
              <w:top w:w="80" w:type="dxa"/>
              <w:left w:w="100" w:type="dxa"/>
              <w:bottom w:w="80" w:type="dxa"/>
              <w:right w:w="100" w:type="dxa"/>
            </w:tcMar>
          </w:tcPr>
          <w:p w14:paraId="0E330C27"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Greed-Leaning Elite</w:t>
            </w:r>
          </w:p>
        </w:tc>
      </w:tr>
      <w:tr w:rsidR="00381869" w:rsidRPr="00267816" w14:paraId="2DF65C3D"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7A4C63EE" w14:textId="77777777" w:rsidR="00381869" w:rsidRPr="00267816" w:rsidRDefault="00000000">
            <w:pPr>
              <w:rPr>
                <w:rFonts w:ascii="Times New Roman" w:hAnsi="Times New Roman" w:cs="Times New Roman"/>
              </w:rPr>
            </w:pPr>
            <w:r w:rsidRPr="00267816">
              <w:rPr>
                <w:rFonts w:ascii="Times New Roman" w:hAnsi="Times New Roman" w:cs="Times New Roman"/>
              </w:rPr>
              <w:t>1</w:t>
            </w:r>
          </w:p>
        </w:tc>
        <w:tc>
          <w:tcPr>
            <w:tcW w:w="900" w:type="dxa"/>
            <w:shd w:val="clear" w:color="auto" w:fill="FFFFFF"/>
            <w:tcMar>
              <w:top w:w="80" w:type="dxa"/>
              <w:left w:w="100" w:type="dxa"/>
              <w:bottom w:w="80" w:type="dxa"/>
              <w:right w:w="100" w:type="dxa"/>
            </w:tcMar>
          </w:tcPr>
          <w:p w14:paraId="5FA2A3AF"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8</w:t>
            </w:r>
          </w:p>
        </w:tc>
        <w:tc>
          <w:tcPr>
            <w:tcW w:w="1300" w:type="dxa"/>
            <w:shd w:val="clear" w:color="auto" w:fill="FFFFFF"/>
            <w:tcMar>
              <w:top w:w="80" w:type="dxa"/>
              <w:left w:w="100" w:type="dxa"/>
              <w:bottom w:w="80" w:type="dxa"/>
              <w:right w:w="100" w:type="dxa"/>
            </w:tcMar>
          </w:tcPr>
          <w:p w14:paraId="7D6E6516"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$210K</w:t>
            </w:r>
          </w:p>
        </w:tc>
        <w:tc>
          <w:tcPr>
            <w:tcW w:w="1300" w:type="dxa"/>
            <w:shd w:val="clear" w:color="auto" w:fill="FFFFFF"/>
            <w:tcMar>
              <w:top w:w="80" w:type="dxa"/>
              <w:left w:w="100" w:type="dxa"/>
              <w:bottom w:w="80" w:type="dxa"/>
              <w:right w:w="100" w:type="dxa"/>
            </w:tcMar>
          </w:tcPr>
          <w:p w14:paraId="0F28E825"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28.3%</w:t>
            </w:r>
          </w:p>
        </w:tc>
        <w:tc>
          <w:tcPr>
            <w:tcW w:w="1300" w:type="dxa"/>
            <w:shd w:val="clear" w:color="auto" w:fill="FFFFFF"/>
            <w:tcMar>
              <w:top w:w="80" w:type="dxa"/>
              <w:left w:w="100" w:type="dxa"/>
              <w:bottom w:w="80" w:type="dxa"/>
              <w:right w:w="100" w:type="dxa"/>
            </w:tcMar>
          </w:tcPr>
          <w:p w14:paraId="2F5E7D54"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24.0%</w:t>
            </w:r>
          </w:p>
        </w:tc>
        <w:tc>
          <w:tcPr>
            <w:tcW w:w="1200" w:type="dxa"/>
            <w:shd w:val="clear" w:color="auto" w:fill="FFFFFF"/>
            <w:tcMar>
              <w:top w:w="80" w:type="dxa"/>
              <w:left w:w="100" w:type="dxa"/>
              <w:bottom w:w="80" w:type="dxa"/>
              <w:right w:w="100" w:type="dxa"/>
            </w:tcMar>
          </w:tcPr>
          <w:p w14:paraId="56FAC798"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+0.043</w:t>
            </w:r>
          </w:p>
        </w:tc>
        <w:tc>
          <w:tcPr>
            <w:tcW w:w="2100" w:type="dxa"/>
            <w:shd w:val="clear" w:color="auto" w:fill="FFFFFF"/>
            <w:tcMar>
              <w:top w:w="80" w:type="dxa"/>
              <w:left w:w="100" w:type="dxa"/>
              <w:bottom w:w="80" w:type="dxa"/>
              <w:right w:w="100" w:type="dxa"/>
            </w:tcMar>
          </w:tcPr>
          <w:p w14:paraId="6DC80861"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Mild Fear Tilt, High Conviction</w:t>
            </w:r>
          </w:p>
        </w:tc>
      </w:tr>
      <w:tr w:rsidR="00381869" w:rsidRPr="00267816" w14:paraId="649CD598" w14:textId="77777777">
        <w:tblPrEx>
          <w:tblCellMar>
            <w:top w:w="0" w:type="dxa"/>
            <w:bottom w:w="0" w:type="dxa"/>
          </w:tblCellMar>
        </w:tblPrEx>
        <w:tc>
          <w:tcPr>
            <w:tcW w:w="900" w:type="dxa"/>
            <w:shd w:val="clear" w:color="auto" w:fill="F1F5F3"/>
            <w:tcMar>
              <w:top w:w="80" w:type="dxa"/>
              <w:left w:w="100" w:type="dxa"/>
              <w:bottom w:w="80" w:type="dxa"/>
              <w:right w:w="100" w:type="dxa"/>
            </w:tcMar>
          </w:tcPr>
          <w:p w14:paraId="5F3D5252" w14:textId="77777777" w:rsidR="00381869" w:rsidRPr="00267816" w:rsidRDefault="00000000">
            <w:pPr>
              <w:rPr>
                <w:rFonts w:ascii="Times New Roman" w:hAnsi="Times New Roman" w:cs="Times New Roman"/>
              </w:rPr>
            </w:pPr>
            <w:r w:rsidRPr="00267816">
              <w:rPr>
                <w:rFonts w:ascii="Times New Roman" w:hAnsi="Times New Roman" w:cs="Times New Roman"/>
              </w:rPr>
              <w:t>2</w:t>
            </w:r>
          </w:p>
        </w:tc>
        <w:tc>
          <w:tcPr>
            <w:tcW w:w="900" w:type="dxa"/>
            <w:shd w:val="clear" w:color="auto" w:fill="F1F5F3"/>
            <w:tcMar>
              <w:top w:w="80" w:type="dxa"/>
              <w:left w:w="100" w:type="dxa"/>
              <w:bottom w:w="80" w:type="dxa"/>
              <w:right w:w="100" w:type="dxa"/>
            </w:tcMar>
          </w:tcPr>
          <w:p w14:paraId="4E8BFC8A"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15</w:t>
            </w:r>
          </w:p>
        </w:tc>
        <w:tc>
          <w:tcPr>
            <w:tcW w:w="1300" w:type="dxa"/>
            <w:shd w:val="clear" w:color="auto" w:fill="F1F5F3"/>
            <w:tcMar>
              <w:top w:w="80" w:type="dxa"/>
              <w:left w:w="100" w:type="dxa"/>
              <w:bottom w:w="80" w:type="dxa"/>
              <w:right w:w="100" w:type="dxa"/>
            </w:tcMar>
          </w:tcPr>
          <w:p w14:paraId="6B64116C"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$177K</w:t>
            </w:r>
          </w:p>
        </w:tc>
        <w:tc>
          <w:tcPr>
            <w:tcW w:w="1300" w:type="dxa"/>
            <w:shd w:val="clear" w:color="auto" w:fill="F1F5F3"/>
            <w:tcMar>
              <w:top w:w="80" w:type="dxa"/>
              <w:left w:w="100" w:type="dxa"/>
              <w:bottom w:w="80" w:type="dxa"/>
              <w:right w:w="100" w:type="dxa"/>
            </w:tcMar>
          </w:tcPr>
          <w:p w14:paraId="78FD4D86"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44.2%</w:t>
            </w:r>
          </w:p>
        </w:tc>
        <w:tc>
          <w:tcPr>
            <w:tcW w:w="1300" w:type="dxa"/>
            <w:shd w:val="clear" w:color="auto" w:fill="F1F5F3"/>
            <w:tcMar>
              <w:top w:w="80" w:type="dxa"/>
              <w:left w:w="100" w:type="dxa"/>
              <w:bottom w:w="80" w:type="dxa"/>
              <w:right w:w="100" w:type="dxa"/>
            </w:tcMar>
          </w:tcPr>
          <w:p w14:paraId="28940019"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34.6%</w:t>
            </w:r>
          </w:p>
        </w:tc>
        <w:tc>
          <w:tcPr>
            <w:tcW w:w="1200" w:type="dxa"/>
            <w:shd w:val="clear" w:color="auto" w:fill="F1F5F3"/>
            <w:tcMar>
              <w:top w:w="80" w:type="dxa"/>
              <w:left w:w="100" w:type="dxa"/>
              <w:bottom w:w="80" w:type="dxa"/>
              <w:right w:w="100" w:type="dxa"/>
            </w:tcMar>
          </w:tcPr>
          <w:p w14:paraId="50D480A5"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+0.068</w:t>
            </w:r>
          </w:p>
        </w:tc>
        <w:tc>
          <w:tcPr>
            <w:tcW w:w="2100" w:type="dxa"/>
            <w:shd w:val="clear" w:color="auto" w:fill="F1F5F3"/>
            <w:tcMar>
              <w:top w:w="80" w:type="dxa"/>
              <w:left w:w="100" w:type="dxa"/>
              <w:bottom w:w="80" w:type="dxa"/>
              <w:right w:w="100" w:type="dxa"/>
            </w:tcMar>
          </w:tcPr>
          <w:p w14:paraId="03581150"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Core Population — Balanced/Fear-Leaning</w:t>
            </w:r>
          </w:p>
        </w:tc>
      </w:tr>
      <w:tr w:rsidR="00381869" w:rsidRPr="00267816" w14:paraId="03287BEC"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6FBB1683" w14:textId="77777777" w:rsidR="00381869" w:rsidRPr="00267816" w:rsidRDefault="00000000">
            <w:pPr>
              <w:rPr>
                <w:rFonts w:ascii="Times New Roman" w:hAnsi="Times New Roman" w:cs="Times New Roman"/>
              </w:rPr>
            </w:pPr>
            <w:r w:rsidRPr="00267816">
              <w:rPr>
                <w:rFonts w:ascii="Times New Roman" w:hAnsi="Times New Roman" w:cs="Times New Roman"/>
              </w:rPr>
              <w:t>4</w:t>
            </w:r>
          </w:p>
        </w:tc>
        <w:tc>
          <w:tcPr>
            <w:tcW w:w="900" w:type="dxa"/>
            <w:shd w:val="clear" w:color="auto" w:fill="FFFFFF"/>
            <w:tcMar>
              <w:top w:w="80" w:type="dxa"/>
              <w:left w:w="100" w:type="dxa"/>
              <w:bottom w:w="80" w:type="dxa"/>
              <w:right w:w="100" w:type="dxa"/>
            </w:tcMar>
          </w:tcPr>
          <w:p w14:paraId="775B87D0"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5</w:t>
            </w:r>
          </w:p>
        </w:tc>
        <w:tc>
          <w:tcPr>
            <w:tcW w:w="1300" w:type="dxa"/>
            <w:shd w:val="clear" w:color="auto" w:fill="FFFFFF"/>
            <w:tcMar>
              <w:top w:w="80" w:type="dxa"/>
              <w:left w:w="100" w:type="dxa"/>
              <w:bottom w:w="80" w:type="dxa"/>
              <w:right w:w="100" w:type="dxa"/>
            </w:tcMar>
          </w:tcPr>
          <w:p w14:paraId="0D7629E1"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$137K</w:t>
            </w:r>
          </w:p>
        </w:tc>
        <w:tc>
          <w:tcPr>
            <w:tcW w:w="1300" w:type="dxa"/>
            <w:shd w:val="clear" w:color="auto" w:fill="FFFFFF"/>
            <w:tcMar>
              <w:top w:w="80" w:type="dxa"/>
              <w:left w:w="100" w:type="dxa"/>
              <w:bottom w:w="80" w:type="dxa"/>
              <w:right w:w="100" w:type="dxa"/>
            </w:tcMar>
          </w:tcPr>
          <w:p w14:paraId="09316533"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17.5%</w:t>
            </w:r>
          </w:p>
        </w:tc>
        <w:tc>
          <w:tcPr>
            <w:tcW w:w="1300" w:type="dxa"/>
            <w:shd w:val="clear" w:color="auto" w:fill="FFFFFF"/>
            <w:tcMar>
              <w:top w:w="80" w:type="dxa"/>
              <w:left w:w="100" w:type="dxa"/>
              <w:bottom w:w="80" w:type="dxa"/>
              <w:right w:w="100" w:type="dxa"/>
            </w:tcMar>
          </w:tcPr>
          <w:p w14:paraId="4703FB71"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50.2%</w:t>
            </w:r>
          </w:p>
        </w:tc>
        <w:tc>
          <w:tcPr>
            <w:tcW w:w="1200" w:type="dxa"/>
            <w:shd w:val="clear" w:color="auto" w:fill="FFFFFF"/>
            <w:tcMar>
              <w:top w:w="80" w:type="dxa"/>
              <w:left w:w="100" w:type="dxa"/>
              <w:bottom w:w="80" w:type="dxa"/>
              <w:right w:w="100" w:type="dxa"/>
            </w:tcMar>
          </w:tcPr>
          <w:p w14:paraId="7ED1F471"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-0.327</w:t>
            </w:r>
          </w:p>
        </w:tc>
        <w:tc>
          <w:tcPr>
            <w:tcW w:w="2100" w:type="dxa"/>
            <w:shd w:val="clear" w:color="auto" w:fill="FFFFFF"/>
            <w:tcMar>
              <w:top w:w="80" w:type="dxa"/>
              <w:left w:w="100" w:type="dxa"/>
              <w:bottom w:w="80" w:type="dxa"/>
              <w:right w:w="100" w:type="dxa"/>
            </w:tcMar>
          </w:tcPr>
          <w:p w14:paraId="579B7D73" w14:textId="77777777" w:rsidR="00381869" w:rsidRPr="00267816" w:rsidRDefault="00000000">
            <w:pPr>
              <w:jc w:val="center"/>
              <w:rPr>
                <w:rFonts w:ascii="Times New Roman" w:hAnsi="Times New Roman" w:cs="Times New Roman"/>
              </w:rPr>
            </w:pPr>
            <w:r w:rsidRPr="00267816">
              <w:rPr>
                <w:rFonts w:ascii="Times New Roman" w:hAnsi="Times New Roman" w:cs="Times New Roman"/>
              </w:rPr>
              <w:t>Greed Specialists</w:t>
            </w:r>
          </w:p>
        </w:tc>
      </w:tr>
    </w:tbl>
    <w:p w14:paraId="4326C9BA" w14:textId="77777777" w:rsidR="00381869" w:rsidRPr="00267816" w:rsidRDefault="00381869">
      <w:pPr>
        <w:spacing w:before="200" w:after="200"/>
        <w:rPr>
          <w:rFonts w:ascii="Times New Roman" w:hAnsi="Times New Roman" w:cs="Times New Roman"/>
        </w:rPr>
      </w:pPr>
    </w:p>
    <w:p w14:paraId="5661F463" w14:textId="5CAEBEF4" w:rsidR="00381869" w:rsidRPr="00267816" w:rsidRDefault="00000000" w:rsidP="00267816">
      <w:pPr>
        <w:spacing w:before="200" w:after="200"/>
        <w:jc w:val="center"/>
        <w:rPr>
          <w:rFonts w:ascii="Times New Roman" w:hAnsi="Times New Roman" w:cs="Times New Roman"/>
        </w:rPr>
      </w:pPr>
      <w:r w:rsidRPr="00267816">
        <w:rPr>
          <w:rFonts w:ascii="Times New Roman" w:hAnsi="Times New Roman" w:cs="Times New Roman"/>
          <w:noProof/>
        </w:rPr>
        <w:drawing>
          <wp:inline distT="0" distB="0" distL="0" distR="0" wp14:anchorId="0D267F88" wp14:editId="18F738C9">
            <wp:extent cx="3238500" cy="2600325"/>
            <wp:effectExtent l="0" t="0" r="0" b="0"/>
            <wp:docPr id="1526011524" name="Picture 152601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600325"/>
                    </a:xfrm>
                    <a:prstGeom prst="rect">
                      <a:avLst/>
                    </a:prstGeom>
                  </pic:spPr>
                </pic:pic>
              </a:graphicData>
            </a:graphic>
          </wp:inline>
        </w:drawing>
      </w:r>
    </w:p>
    <w:p w14:paraId="079878C1" w14:textId="77777777" w:rsidR="00267816" w:rsidRPr="00267816" w:rsidRDefault="00267816" w:rsidP="00267816">
      <w:pPr>
        <w:pStyle w:val="Heading1"/>
        <w:spacing w:before="400" w:after="200"/>
        <w:rPr>
          <w:rFonts w:ascii="Times New Roman" w:hAnsi="Times New Roman" w:cs="Times New Roman"/>
          <w:color w:val="auto"/>
          <w:sz w:val="22"/>
          <w:szCs w:val="22"/>
        </w:rPr>
      </w:pPr>
      <w:r w:rsidRPr="00267816">
        <w:rPr>
          <w:rFonts w:ascii="Times New Roman" w:hAnsi="Times New Roman" w:cs="Times New Roman"/>
          <w:color w:val="auto"/>
          <w:sz w:val="22"/>
          <w:szCs w:val="22"/>
        </w:rPr>
        <w:t xml:space="preserve">Cluster 2 (15 traders) is the only group large enough to represent a real and reliable trading pattern. This group shows a small tendency to perform better during Fear markets, which matches the earlier finding from the median </w:t>
      </w:r>
      <w:r w:rsidRPr="00267816">
        <w:rPr>
          <w:rFonts w:ascii="Times New Roman" w:hAnsi="Times New Roman" w:cs="Times New Roman"/>
          <w:color w:val="auto"/>
          <w:sz w:val="22"/>
          <w:szCs w:val="22"/>
        </w:rPr>
        <w:lastRenderedPageBreak/>
        <w:t>profit analysis</w:t>
      </w:r>
      <w:r w:rsidRPr="00267816">
        <w:rPr>
          <w:rFonts w:ascii="Times New Roman" w:hAnsi="Times New Roman" w:cs="Times New Roman"/>
          <w:color w:val="auto"/>
          <w:sz w:val="22"/>
          <w:szCs w:val="22"/>
        </w:rPr>
        <w:t xml:space="preserve">. </w:t>
      </w:r>
      <w:r w:rsidRPr="00267816">
        <w:rPr>
          <w:rFonts w:ascii="Times New Roman" w:hAnsi="Times New Roman" w:cs="Times New Roman"/>
          <w:color w:val="auto"/>
          <w:sz w:val="22"/>
          <w:szCs w:val="22"/>
        </w:rPr>
        <w:t>The other groups — Clusters 0, 3, and 4 — are very small (only 2–5 traders each), so they should not be treated as broad market behavior. Instead, they are better viewed as individual trader case studies.</w:t>
      </w:r>
      <w:r w:rsidRPr="00267816">
        <w:rPr>
          <w:rFonts w:ascii="Times New Roman" w:hAnsi="Times New Roman" w:cs="Times New Roman"/>
          <w:color w:val="auto"/>
          <w:sz w:val="22"/>
          <w:szCs w:val="22"/>
        </w:rPr>
        <w:t xml:space="preserve"> </w:t>
      </w:r>
      <w:r w:rsidRPr="00267816">
        <w:rPr>
          <w:rFonts w:ascii="Times New Roman" w:hAnsi="Times New Roman" w:cs="Times New Roman"/>
          <w:color w:val="auto"/>
          <w:sz w:val="22"/>
          <w:szCs w:val="22"/>
        </w:rPr>
        <w:t>In particular, Cluster 3 contains two “Fear Whale” accounts that make unusually large profits during Fear periods. These few traders heavily influence the overall average profit results and make Fear appear more profitable than it is for the typical trader.</w:t>
      </w:r>
    </w:p>
    <w:p w14:paraId="2A350589" w14:textId="7F5D2EAB" w:rsidR="00381869" w:rsidRPr="00267816" w:rsidRDefault="00381869">
      <w:pPr>
        <w:spacing w:after="160"/>
        <w:rPr>
          <w:rFonts w:ascii="Times New Roman" w:hAnsi="Times New Roman" w:cs="Times New Roman"/>
        </w:rPr>
      </w:pPr>
    </w:p>
    <w:sectPr w:rsidR="00381869" w:rsidRPr="0026781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34B4"/>
    <w:multiLevelType w:val="hybridMultilevel"/>
    <w:tmpl w:val="BACE1B20"/>
    <w:lvl w:ilvl="0" w:tplc="B0263E34">
      <w:start w:val="1"/>
      <w:numFmt w:val="decimal"/>
      <w:lvlText w:val="%1."/>
      <w:lvlJc w:val="left"/>
      <w:pPr>
        <w:ind w:left="720" w:hanging="360"/>
      </w:pPr>
      <w:rPr>
        <w:rFonts w:hint="default"/>
        <w:b/>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B404C"/>
    <w:multiLevelType w:val="hybridMultilevel"/>
    <w:tmpl w:val="2FD467B6"/>
    <w:lvl w:ilvl="0" w:tplc="06681296">
      <w:start w:val="1"/>
      <w:numFmt w:val="bullet"/>
      <w:lvlText w:val="●"/>
      <w:lvlJc w:val="left"/>
      <w:pPr>
        <w:ind w:left="720" w:hanging="360"/>
      </w:pPr>
    </w:lvl>
    <w:lvl w:ilvl="1" w:tplc="44DC14A2">
      <w:start w:val="1"/>
      <w:numFmt w:val="bullet"/>
      <w:lvlText w:val="○"/>
      <w:lvlJc w:val="left"/>
      <w:pPr>
        <w:ind w:left="1440" w:hanging="360"/>
      </w:pPr>
    </w:lvl>
    <w:lvl w:ilvl="2" w:tplc="EF7627F0">
      <w:start w:val="1"/>
      <w:numFmt w:val="bullet"/>
      <w:lvlText w:val="■"/>
      <w:lvlJc w:val="left"/>
      <w:pPr>
        <w:ind w:left="2160" w:hanging="360"/>
      </w:pPr>
    </w:lvl>
    <w:lvl w:ilvl="3" w:tplc="A9547F4C">
      <w:start w:val="1"/>
      <w:numFmt w:val="bullet"/>
      <w:lvlText w:val="●"/>
      <w:lvlJc w:val="left"/>
      <w:pPr>
        <w:ind w:left="2880" w:hanging="360"/>
      </w:pPr>
    </w:lvl>
    <w:lvl w:ilvl="4" w:tplc="EBF6C71E">
      <w:start w:val="1"/>
      <w:numFmt w:val="bullet"/>
      <w:lvlText w:val="○"/>
      <w:lvlJc w:val="left"/>
      <w:pPr>
        <w:ind w:left="3600" w:hanging="360"/>
      </w:pPr>
    </w:lvl>
    <w:lvl w:ilvl="5" w:tplc="57604FD4">
      <w:start w:val="1"/>
      <w:numFmt w:val="bullet"/>
      <w:lvlText w:val="■"/>
      <w:lvlJc w:val="left"/>
      <w:pPr>
        <w:ind w:left="4320" w:hanging="360"/>
      </w:pPr>
    </w:lvl>
    <w:lvl w:ilvl="6" w:tplc="D0FE3892">
      <w:start w:val="1"/>
      <w:numFmt w:val="bullet"/>
      <w:lvlText w:val="●"/>
      <w:lvlJc w:val="left"/>
      <w:pPr>
        <w:ind w:left="5040" w:hanging="360"/>
      </w:pPr>
    </w:lvl>
    <w:lvl w:ilvl="7" w:tplc="86FAC794">
      <w:start w:val="1"/>
      <w:numFmt w:val="bullet"/>
      <w:lvlText w:val="●"/>
      <w:lvlJc w:val="left"/>
      <w:pPr>
        <w:ind w:left="5760" w:hanging="360"/>
      </w:pPr>
    </w:lvl>
    <w:lvl w:ilvl="8" w:tplc="2DF8F1A2">
      <w:start w:val="1"/>
      <w:numFmt w:val="bullet"/>
      <w:lvlText w:val="●"/>
      <w:lvlJc w:val="left"/>
      <w:pPr>
        <w:ind w:left="6480" w:hanging="360"/>
      </w:pPr>
    </w:lvl>
  </w:abstractNum>
  <w:abstractNum w:abstractNumId="2" w15:restartNumberingAfterBreak="0">
    <w:nsid w:val="4BD03BFD"/>
    <w:multiLevelType w:val="hybridMultilevel"/>
    <w:tmpl w:val="B7861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BC6D96"/>
    <w:multiLevelType w:val="hybridMultilevel"/>
    <w:tmpl w:val="BC244C56"/>
    <w:lvl w:ilvl="0" w:tplc="C1AA34EC">
      <w:start w:val="1"/>
      <w:numFmt w:val="decimal"/>
      <w:lvlText w:val="%1."/>
      <w:lvlJc w:val="left"/>
      <w:pPr>
        <w:ind w:left="720" w:hanging="360"/>
      </w:pPr>
      <w:rPr>
        <w:rFonts w:hint="default"/>
        <w:b/>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103563">
    <w:abstractNumId w:val="1"/>
    <w:lvlOverride w:ilvl="0">
      <w:startOverride w:val="1"/>
    </w:lvlOverride>
  </w:num>
  <w:num w:numId="2" w16cid:durableId="2079398401">
    <w:abstractNumId w:val="2"/>
  </w:num>
  <w:num w:numId="3" w16cid:durableId="11877535">
    <w:abstractNumId w:val="0"/>
  </w:num>
  <w:num w:numId="4" w16cid:durableId="766852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869"/>
    <w:rsid w:val="00267816"/>
    <w:rsid w:val="00381869"/>
    <w:rsid w:val="0042337F"/>
    <w:rsid w:val="00457D94"/>
    <w:rsid w:val="00465545"/>
    <w:rsid w:val="005E1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F4A2"/>
  <w15:docId w15:val="{8F3407CD-F6D8-458C-921D-E42F0929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 K T</cp:lastModifiedBy>
  <cp:revision>2</cp:revision>
  <dcterms:created xsi:type="dcterms:W3CDTF">2026-07-01T06:16:00Z</dcterms:created>
  <dcterms:modified xsi:type="dcterms:W3CDTF">2026-07-01T06:56:00Z</dcterms:modified>
</cp:coreProperties>
</file>