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Drive Project Context</w:t>
      </w:r>
    </w:p>
    <w:p>
      <w:pPr>
        <w:spacing w:after="240"/>
      </w:pPr>
      <w:r>
        <w:rPr>
          <w:rFonts w:ascii="Aptos" w:hAnsi="Aptos"/>
          <w:color w:val="65585A"/>
          <w:sz w:val="22"/>
        </w:rPr>
        <w:t>Technical handoff and demo guide  |  Updated 21 October 2026</w:t>
      </w:r>
    </w:p>
    <w:p>
      <w:r>
        <w:t>Student Drive is a DYP DPU academic assignment portal for student submissions and faculty grading. This document records the current codebase, deployed AWS resources, account setup, known behavior, recent authentication changes, and steps to resume work or present the demo.</w:t>
      </w:r>
    </w:p>
    <w:tbl>
      <w:tblPr>
        <w:tblW w:type="auto" w:w="0"/>
        <w:jc w:val="center"/>
        <w:tblLook w:firstColumn="1" w:firstRow="1" w:lastColumn="0" w:lastRow="0" w:noHBand="0" w:noVBand="1" w:val="04A0"/>
      </w:tblPr>
      <w:tblGrid>
        <w:gridCol w:w="9994"/>
      </w:tblGrid>
      <w:tr>
        <w:tc>
          <w:tcPr>
            <w:tcW w:type="dxa" w:w="9994"/>
            <w:shd w:fill="FEF7DE"/>
            <w:vAlign w:val="center"/>
          </w:tcPr>
          <w:p>
            <w:pPr>
              <w:spacing w:after="20" w:before="20"/>
            </w:pPr>
            <w:r/>
            <w:r>
              <w:rPr>
                <w:rFonts w:ascii="Aptos" w:hAnsi="Aptos"/>
                <w:b w:val="0"/>
                <w:color w:val="23191A"/>
                <w:sz w:val="18"/>
              </w:rPr>
              <w:t>Current state: the CloudFormation stack is reported CREATE_COMPLETE in ap-south-1. The app is run locally at http://localhost:3001 and uses Cognito, DynamoDB, and a private S3 bucket in AWS mode. The student’s Cognito sign-in recently returned HTTP 401. A password-reset code flow has now been added to the workspace, but the server must be restarted and that change still needs a live sign-in check.</w:t>
            </w:r>
          </w:p>
        </w:tc>
      </w:tr>
    </w:tbl>
    <w:p>
      <w:pPr>
        <w:spacing w:after="20"/>
      </w:pPr>
    </w:p>
    <w:p>
      <w:pPr>
        <w:pStyle w:val="Heading1"/>
      </w:pPr>
      <w:r>
        <w:t>1  Project at a glance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vAlign w:val="center"/>
            <w:shd w:fill="800020"/>
          </w:tcPr>
          <w:p>
            <w:pPr>
              <w:spacing w:after="20" w:before="20"/>
            </w:pPr>
            <w:r/>
            <w:r>
              <w:rPr>
                <w:rFonts w:ascii="Aptos" w:hAnsi="Aptos"/>
                <w:b/>
                <w:color w:val="FFFFFF"/>
                <w:sz w:val="17"/>
              </w:rPr>
              <w:t>Item</w:t>
            </w:r>
          </w:p>
        </w:tc>
        <w:tc>
          <w:tcPr>
            <w:tcW w:type="dxa" w:w="4997"/>
            <w:vAlign w:val="center"/>
            <w:shd w:fill="800020"/>
          </w:tcPr>
          <w:p>
            <w:pPr>
              <w:spacing w:after="20" w:before="20"/>
            </w:pPr>
            <w:r/>
            <w:r>
              <w:rPr>
                <w:rFonts w:ascii="Aptos" w:hAnsi="Aptos"/>
                <w:b/>
                <w:color w:val="FFFFFF"/>
                <w:sz w:val="17"/>
              </w:rPr>
              <w:t>Current context</w:t>
            </w:r>
          </w:p>
        </w:tc>
      </w:tr>
      <w:tr>
        <w:tc>
          <w:tcPr>
            <w:tcW w:type="dxa" w:w="4997"/>
            <w:vAlign w:val="center"/>
            <w:shd w:fill="FBF8F8"/>
          </w:tcPr>
          <w:p>
            <w:pPr>
              <w:spacing w:after="20" w:before="20"/>
            </w:pPr>
            <w:r/>
            <w:r>
              <w:rPr>
                <w:rFonts w:ascii="Aptos" w:hAnsi="Aptos"/>
                <w:b w:val="0"/>
                <w:color w:val="23191A"/>
                <w:sz w:val="16"/>
              </w:rPr>
              <w:t>Purpose</w:t>
            </w:r>
          </w:p>
        </w:tc>
        <w:tc>
          <w:tcPr>
            <w:tcW w:type="dxa" w:w="4997"/>
            <w:vAlign w:val="center"/>
            <w:shd w:fill="FBF8F8"/>
          </w:tcPr>
          <w:p>
            <w:pPr>
              <w:spacing w:after="20" w:before="20"/>
            </w:pPr>
            <w:r/>
            <w:r>
              <w:rPr>
                <w:rFonts w:ascii="Aptos" w:hAnsi="Aptos"/>
                <w:b w:val="0"/>
                <w:color w:val="23191A"/>
                <w:sz w:val="16"/>
              </w:rPr>
              <w:t>Students view subjects and assignments, upload work, track revisions, and see faculty feedback. Faculty review submissions, score rubrics, and approve or request changes.</w:t>
            </w:r>
          </w:p>
        </w:tc>
      </w:tr>
      <w:tr>
        <w:tc>
          <w:tcPr>
            <w:tcW w:type="dxa" w:w="4997"/>
            <w:vAlign w:val="center"/>
          </w:tcPr>
          <w:p>
            <w:pPr>
              <w:spacing w:after="20" w:before="20"/>
            </w:pPr>
            <w:r/>
            <w:r>
              <w:rPr>
                <w:rFonts w:ascii="Aptos" w:hAnsi="Aptos"/>
                <w:b w:val="0"/>
                <w:color w:val="23191A"/>
                <w:sz w:val="16"/>
              </w:rPr>
              <w:t>Frontend</w:t>
            </w:r>
          </w:p>
        </w:tc>
        <w:tc>
          <w:tcPr>
            <w:tcW w:type="dxa" w:w="4997"/>
            <w:vAlign w:val="center"/>
          </w:tcPr>
          <w:p>
            <w:pPr>
              <w:spacing w:after="20" w:before="20"/>
            </w:pPr>
            <w:r/>
            <w:r>
              <w:rPr>
                <w:rFonts w:ascii="Aptos" w:hAnsi="Aptos"/>
                <w:b w:val="0"/>
                <w:color w:val="23191A"/>
                <w:sz w:val="16"/>
              </w:rPr>
              <w:t>Single-page application in index.html using vanilla JavaScript, hash routes, Tailwind CDN, Material Symbols, and DYP DPU maroon, white, and gold styling.</w:t>
            </w:r>
          </w:p>
        </w:tc>
      </w:tr>
      <w:tr>
        <w:tc>
          <w:tcPr>
            <w:tcW w:type="dxa" w:w="4997"/>
            <w:vAlign w:val="center"/>
            <w:shd w:fill="FBF8F8"/>
          </w:tcPr>
          <w:p>
            <w:pPr>
              <w:spacing w:after="20" w:before="20"/>
            </w:pPr>
            <w:r/>
            <w:r>
              <w:rPr>
                <w:rFonts w:ascii="Aptos" w:hAnsi="Aptos"/>
                <w:b w:val="0"/>
                <w:color w:val="23191A"/>
                <w:sz w:val="16"/>
              </w:rPr>
              <w:t>Backend</w:t>
            </w:r>
          </w:p>
        </w:tc>
        <w:tc>
          <w:tcPr>
            <w:tcW w:type="dxa" w:w="4997"/>
            <w:vAlign w:val="center"/>
            <w:shd w:fill="FBF8F8"/>
          </w:tcPr>
          <w:p>
            <w:pPr>
              <w:spacing w:after="20" w:before="20"/>
            </w:pPr>
            <w:r/>
            <w:r>
              <w:rPr>
                <w:rFonts w:ascii="Aptos" w:hAnsi="Aptos"/>
                <w:b w:val="0"/>
                <w:color w:val="23191A"/>
                <w:sz w:val="16"/>
              </w:rPr>
              <w:t>Node.js HTTP server in server.js with JSON API handlers under backend/routes/api.js.</w:t>
            </w:r>
          </w:p>
        </w:tc>
      </w:tr>
      <w:tr>
        <w:tc>
          <w:tcPr>
            <w:tcW w:type="dxa" w:w="4997"/>
            <w:vAlign w:val="center"/>
          </w:tcPr>
          <w:p>
            <w:pPr>
              <w:spacing w:after="20" w:before="20"/>
            </w:pPr>
            <w:r/>
            <w:r>
              <w:rPr>
                <w:rFonts w:ascii="Aptos" w:hAnsi="Aptos"/>
                <w:b w:val="0"/>
                <w:color w:val="23191A"/>
                <w:sz w:val="16"/>
              </w:rPr>
              <w:t>Local URL</w:t>
            </w:r>
          </w:p>
        </w:tc>
        <w:tc>
          <w:tcPr>
            <w:tcW w:type="dxa" w:w="4997"/>
            <w:vAlign w:val="center"/>
          </w:tcPr>
          <w:p>
            <w:pPr>
              <w:spacing w:after="20" w:before="20"/>
            </w:pPr>
            <w:r/>
            <w:r>
              <w:rPr>
                <w:rFonts w:ascii="Aptos" w:hAnsi="Aptos"/>
                <w:b w:val="0"/>
                <w:color w:val="23191A"/>
                <w:sz w:val="16"/>
              </w:rPr>
              <w:t>http://localhost:3001 when the local server is running.</w:t>
            </w:r>
          </w:p>
        </w:tc>
      </w:tr>
      <w:tr>
        <w:tc>
          <w:tcPr>
            <w:tcW w:type="dxa" w:w="4997"/>
            <w:vAlign w:val="center"/>
            <w:shd w:fill="FBF8F8"/>
          </w:tcPr>
          <w:p>
            <w:pPr>
              <w:spacing w:after="20" w:before="20"/>
            </w:pPr>
            <w:r/>
            <w:r>
              <w:rPr>
                <w:rFonts w:ascii="Aptos" w:hAnsi="Aptos"/>
                <w:b w:val="0"/>
                <w:color w:val="23191A"/>
                <w:sz w:val="16"/>
              </w:rPr>
              <w:t>Cloud region</w:t>
            </w:r>
          </w:p>
        </w:tc>
        <w:tc>
          <w:tcPr>
            <w:tcW w:type="dxa" w:w="4997"/>
            <w:vAlign w:val="center"/>
            <w:shd w:fill="FBF8F8"/>
          </w:tcPr>
          <w:p>
            <w:pPr>
              <w:spacing w:after="20" w:before="20"/>
            </w:pPr>
            <w:r/>
            <w:r>
              <w:rPr>
                <w:rFonts w:ascii="Aptos" w:hAnsi="Aptos"/>
                <w:b w:val="0"/>
                <w:color w:val="23191A"/>
                <w:sz w:val="16"/>
              </w:rPr>
              <w:t>Asia Pacific (Mumbai), ap-south-1.</w:t>
            </w:r>
          </w:p>
        </w:tc>
      </w:tr>
      <w:tr>
        <w:tc>
          <w:tcPr>
            <w:tcW w:type="dxa" w:w="4997"/>
            <w:vAlign w:val="center"/>
          </w:tcPr>
          <w:p>
            <w:pPr>
              <w:spacing w:after="20" w:before="20"/>
            </w:pPr>
            <w:r/>
            <w:r>
              <w:rPr>
                <w:rFonts w:ascii="Aptos" w:hAnsi="Aptos"/>
                <w:b w:val="0"/>
                <w:color w:val="23191A"/>
                <w:sz w:val="16"/>
              </w:rPr>
              <w:t>Project folder</w:t>
            </w:r>
          </w:p>
        </w:tc>
        <w:tc>
          <w:tcPr>
            <w:tcW w:type="dxa" w:w="4997"/>
            <w:vAlign w:val="center"/>
          </w:tcPr>
          <w:p>
            <w:pPr>
              <w:spacing w:after="20" w:before="20"/>
            </w:pPr>
            <w:r/>
            <w:r>
              <w:rPr>
                <w:rFonts w:ascii="Aptos" w:hAnsi="Aptos"/>
                <w:b w:val="0"/>
                <w:color w:val="23191A"/>
                <w:sz w:val="16"/>
              </w:rPr>
              <w:t>D:\Users\mayur\Desktop\Cloud-Computing-Mini-Project</w:t>
            </w:r>
          </w:p>
        </w:tc>
      </w:tr>
    </w:tbl>
    <w:p>
      <w:pPr>
        <w:spacing w:after="20"/>
      </w:pPr>
    </w:p>
    <w:p>
      <w:pPr>
        <w:pStyle w:val="Heading1"/>
      </w:pPr>
      <w:r>
        <w:t>2  User-facing features</w:t>
      </w:r>
    </w:p>
    <w:p>
      <w:pPr>
        <w:pStyle w:val="ListBullet"/>
      </w:pPr>
      <w:r>
        <w:t>Student area: dashboard, subject list, assignment details, upload form, submission history, version revisions, feedback, and file download.</w:t>
      </w:r>
    </w:p>
    <w:p>
      <w:pPr>
        <w:pStyle w:val="ListBullet"/>
      </w:pPr>
      <w:r>
        <w:t>Faculty area: teacher dashboard, review queue, submission file view, SHA-256/status information, rubric sliders, feedback, Request Changes, and Approve &amp; Record actions.</w:t>
      </w:r>
    </w:p>
    <w:p>
      <w:pPr>
        <w:pStyle w:val="ListBullet"/>
      </w:pPr>
      <w:r>
        <w:t>Upload UI accepts .zip, .tar.gz, .pdf, and .py files, enforces a 25 MB limit, collects student notes, and selects an initial or revision version.</w:t>
      </w:r>
    </w:p>
    <w:p>
      <w:pPr>
        <w:pStyle w:val="ListBullet"/>
      </w:pPr>
      <w:r>
        <w:t>The primary seeded student is Alex Chen, portal ID CS-2023-084. The primary seeded faculty member is Dr. Evelyn Reed, portal ID FAC-CSE-042.</w:t>
      </w:r>
    </w:p>
    <w:p>
      <w:pPr>
        <w:pStyle w:val="ListBullet"/>
      </w:pPr>
      <w:r>
        <w:t>The seed dataset contains 5 user profiles, 5 subjects, 6 assignments, and 4 submissions. It is demonstration data, not an authoritative university record.</w:t>
      </w:r>
    </w:p>
    <w:p>
      <w:pPr>
        <w:pStyle w:val="Heading1"/>
      </w:pPr>
      <w:r>
        <w:t>3  Architecture and request flow</w:t>
      </w:r>
    </w:p>
    <w:p>
      <w:r>
        <w:t>The browser talks to the local Node server. The server serves index.html and handles /api routes. In AWS mode, Cognito authenticates portal users, DynamoDB stores application records, and private S3 stores submission files. The browser never receives AWS access keys.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vAlign w:val="center"/>
            <w:shd w:fill="800020"/>
          </w:tcPr>
          <w:p>
            <w:pPr>
              <w:spacing w:after="20" w:before="20"/>
            </w:pPr>
            <w:r/>
            <w:r>
              <w:rPr>
                <w:rFonts w:ascii="Aptos" w:hAnsi="Aptos"/>
                <w:b/>
                <w:color w:val="FFFFFF"/>
                <w:sz w:val="17"/>
              </w:rPr>
              <w:t>Layer</w:t>
            </w:r>
          </w:p>
        </w:tc>
        <w:tc>
          <w:tcPr>
            <w:tcW w:type="dxa" w:w="4997"/>
            <w:vAlign w:val="center"/>
            <w:shd w:fill="800020"/>
          </w:tcPr>
          <w:p>
            <w:pPr>
              <w:spacing w:after="20" w:before="20"/>
            </w:pPr>
            <w:r/>
            <w:r>
              <w:rPr>
                <w:rFonts w:ascii="Aptos" w:hAnsi="Aptos"/>
                <w:b/>
                <w:color w:val="FFFFFF"/>
                <w:sz w:val="17"/>
              </w:rPr>
              <w:t>Implementation</w:t>
            </w:r>
          </w:p>
        </w:tc>
      </w:tr>
      <w:tr>
        <w:tc>
          <w:tcPr>
            <w:tcW w:type="dxa" w:w="4997"/>
            <w:vAlign w:val="center"/>
            <w:shd w:fill="FBF8F8"/>
          </w:tcPr>
          <w:p>
            <w:pPr>
              <w:spacing w:after="20" w:before="20"/>
            </w:pPr>
            <w:r/>
            <w:r>
              <w:rPr>
                <w:rFonts w:ascii="Aptos" w:hAnsi="Aptos"/>
                <w:b w:val="0"/>
                <w:color w:val="23191A"/>
                <w:sz w:val="16"/>
              </w:rPr>
              <w:t>Identity</w:t>
            </w:r>
          </w:p>
        </w:tc>
        <w:tc>
          <w:tcPr>
            <w:tcW w:type="dxa" w:w="4997"/>
            <w:vAlign w:val="center"/>
            <w:shd w:fill="FBF8F8"/>
          </w:tcPr>
          <w:p>
            <w:pPr>
              <w:spacing w:after="20" w:before="20"/>
            </w:pPr>
            <w:r/>
            <w:r>
              <w:rPr>
                <w:rFonts w:ascii="Aptos" w:hAnsi="Aptos"/>
                <w:b w:val="0"/>
                <w:color w:val="23191A"/>
                <w:sz w:val="16"/>
              </w:rPr>
              <w:t>Amazon Cognito User Pool. The app exchanges email and password for tokens, then the API verifies the ID token signature, issuer, audience, expiry, and user role.</w:t>
            </w:r>
          </w:p>
        </w:tc>
      </w:tr>
      <w:tr>
        <w:tc>
          <w:tcPr>
            <w:tcW w:type="dxa" w:w="4997"/>
            <w:vAlign w:val="center"/>
          </w:tcPr>
          <w:p>
            <w:pPr>
              <w:spacing w:after="20" w:before="20"/>
            </w:pPr>
            <w:r/>
            <w:r>
              <w:rPr>
                <w:rFonts w:ascii="Aptos" w:hAnsi="Aptos"/>
                <w:b w:val="0"/>
                <w:color w:val="23191A"/>
                <w:sz w:val="16"/>
              </w:rPr>
              <w:t>Authorization</w:t>
            </w:r>
          </w:p>
        </w:tc>
        <w:tc>
          <w:tcPr>
            <w:tcW w:type="dxa" w:w="4997"/>
            <w:vAlign w:val="center"/>
          </w:tcPr>
          <w:p>
            <w:pPr>
              <w:spacing w:after="20" w:before="20"/>
            </w:pPr>
            <w:r/>
            <w:r>
              <w:rPr>
                <w:rFonts w:ascii="Aptos" w:hAnsi="Aptos"/>
                <w:b w:val="0"/>
                <w:color w:val="23191A"/>
                <w:sz w:val="16"/>
              </w:rPr>
              <w:t>Cognito group or role claims map to student/faculty. custom:roll_no (for example CS-2023-084) is used to find the matching portal profile in DynamoDB.</w:t>
            </w:r>
          </w:p>
        </w:tc>
      </w:tr>
      <w:tr>
        <w:tc>
          <w:tcPr>
            <w:tcW w:type="dxa" w:w="4997"/>
            <w:vAlign w:val="center"/>
            <w:shd w:fill="FBF8F8"/>
          </w:tcPr>
          <w:p>
            <w:pPr>
              <w:spacing w:after="20" w:before="20"/>
            </w:pPr>
            <w:r/>
            <w:r>
              <w:rPr>
                <w:rFonts w:ascii="Aptos" w:hAnsi="Aptos"/>
                <w:b w:val="0"/>
                <w:color w:val="23191A"/>
                <w:sz w:val="16"/>
              </w:rPr>
              <w:t>Metadata</w:t>
            </w:r>
          </w:p>
        </w:tc>
        <w:tc>
          <w:tcPr>
            <w:tcW w:type="dxa" w:w="4997"/>
            <w:vAlign w:val="center"/>
            <w:shd w:fill="FBF8F8"/>
          </w:tcPr>
          <w:p>
            <w:pPr>
              <w:spacing w:after="20" w:before="20"/>
            </w:pPr>
            <w:r/>
            <w:r>
              <w:rPr>
                <w:rFonts w:ascii="Aptos" w:hAnsi="Aptos"/>
                <w:b w:val="0"/>
                <w:color w:val="23191A"/>
                <w:sz w:val="16"/>
              </w:rPr>
              <w:t>DynamoDB single table StudentDrive_Main, with partition/sort keys PK/SK and four global secondary indexes.</w:t>
            </w:r>
          </w:p>
        </w:tc>
      </w:tr>
      <w:tr>
        <w:tc>
          <w:tcPr>
            <w:tcW w:type="dxa" w:w="4997"/>
            <w:vAlign w:val="center"/>
          </w:tcPr>
          <w:p>
            <w:pPr>
              <w:spacing w:after="20" w:before="20"/>
            </w:pPr>
            <w:r/>
            <w:r>
              <w:rPr>
                <w:rFonts w:ascii="Aptos" w:hAnsi="Aptos"/>
                <w:b w:val="0"/>
                <w:color w:val="23191A"/>
                <w:sz w:val="16"/>
              </w:rPr>
              <w:t>Files</w:t>
            </w:r>
          </w:p>
        </w:tc>
        <w:tc>
          <w:tcPr>
            <w:tcW w:type="dxa" w:w="4997"/>
            <w:vAlign w:val="center"/>
          </w:tcPr>
          <w:p>
            <w:pPr>
              <w:spacing w:after="20" w:before="20"/>
            </w:pPr>
            <w:r/>
            <w:r>
              <w:rPr>
                <w:rFonts w:ascii="Aptos" w:hAnsi="Aptos"/>
                <w:b w:val="0"/>
                <w:color w:val="23191A"/>
                <w:sz w:val="16"/>
              </w:rPr>
              <w:t>Backend creates a signed S3 PUT URL valid for 15 minutes. Browser uploads directly to S3. Authorized reads use a short-lived signed GET URL.</w:t>
            </w:r>
          </w:p>
        </w:tc>
      </w:tr>
      <w:tr>
        <w:tc>
          <w:tcPr>
            <w:tcW w:type="dxa" w:w="4997"/>
            <w:vAlign w:val="center"/>
            <w:shd w:fill="FBF8F8"/>
          </w:tcPr>
          <w:p>
            <w:pPr>
              <w:spacing w:after="20" w:before="20"/>
            </w:pPr>
            <w:r/>
            <w:r>
              <w:rPr>
                <w:rFonts w:ascii="Aptos" w:hAnsi="Aptos"/>
                <w:b w:val="0"/>
                <w:color w:val="23191A"/>
                <w:sz w:val="16"/>
              </w:rPr>
              <w:t>Local demo</w:t>
            </w:r>
          </w:p>
        </w:tc>
        <w:tc>
          <w:tcPr>
            <w:tcW w:type="dxa" w:w="4997"/>
            <w:vAlign w:val="center"/>
            <w:shd w:fill="FBF8F8"/>
          </w:tcPr>
          <w:p>
            <w:pPr>
              <w:spacing w:after="20" w:before="20"/>
            </w:pPr>
            <w:r/>
            <w:r>
              <w:rPr>
                <w:rFonts w:ascii="Aptos" w:hAnsi="Aptos"/>
                <w:b w:val="0"/>
                <w:color w:val="23191A"/>
                <w:sz w:val="16"/>
              </w:rPr>
              <w:t>When STORAGE_MODE=local, the API uses data/student_drive_db.json and data/uploads/. Local/mock upload indicators do not establish that a real S3 object exists.</w:t>
            </w:r>
          </w:p>
        </w:tc>
      </w:tr>
    </w:tbl>
    <w:p>
      <w:pPr>
        <w:spacing w:after="20"/>
      </w:pPr>
    </w:p>
    <w:p>
      <w:r>
        <w:t>The AWS object key format is assignments/&lt;subjectCode&gt;/&lt;assignmentId&gt;/&lt;studentId&gt;/&lt;version&gt;/&lt;filename&gt;. For example, a real AWS upload should appear under an assignments/ prefix in the configured bucket.</w:t>
      </w:r>
    </w:p>
    <w:p>
      <w:pPr>
        <w:pStyle w:val="Heading1"/>
      </w:pPr>
      <w:r>
        <w:t>4  AWS deployment and account setup</w:t>
      </w:r>
    </w:p>
    <w:p>
      <w:r>
        <w:t>The user deployed the CloudFormation stack student-drive-demo in ap-south-1 and shared screenshots showing CREATE_COMPLETE and the stack outputs. The template creates the storage and identity resources below; it does not deploy a public website or a Lambda/API Gateway service.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vAlign w:val="center"/>
            <w:shd w:fill="800020"/>
          </w:tcPr>
          <w:p>
            <w:pPr>
              <w:spacing w:after="20" w:before="20"/>
            </w:pPr>
            <w:r/>
            <w:r>
              <w:rPr>
                <w:rFonts w:ascii="Aptos" w:hAnsi="Aptos"/>
                <w:b/>
                <w:color w:val="FFFFFF"/>
                <w:sz w:val="17"/>
              </w:rPr>
              <w:t>Resource</w:t>
            </w:r>
          </w:p>
        </w:tc>
        <w:tc>
          <w:tcPr>
            <w:tcW w:type="dxa" w:w="4997"/>
            <w:vAlign w:val="center"/>
            <w:shd w:fill="800020"/>
          </w:tcPr>
          <w:p>
            <w:pPr>
              <w:spacing w:after="20" w:before="20"/>
            </w:pPr>
            <w:r/>
            <w:r>
              <w:rPr>
                <w:rFonts w:ascii="Aptos" w:hAnsi="Aptos"/>
                <w:b/>
                <w:color w:val="FFFFFF"/>
                <w:sz w:val="17"/>
              </w:rPr>
              <w:t>Deployed value / purpose</w:t>
            </w:r>
          </w:p>
        </w:tc>
      </w:tr>
      <w:tr>
        <w:tc>
          <w:tcPr>
            <w:tcW w:type="dxa" w:w="4997"/>
            <w:vAlign w:val="center"/>
            <w:shd w:fill="FBF8F8"/>
          </w:tcPr>
          <w:p>
            <w:pPr>
              <w:spacing w:after="20" w:before="20"/>
            </w:pPr>
            <w:r/>
            <w:r>
              <w:rPr>
                <w:rFonts w:ascii="Aptos" w:hAnsi="Aptos"/>
                <w:b w:val="0"/>
                <w:color w:val="23191A"/>
                <w:sz w:val="16"/>
              </w:rPr>
              <w:t>CloudFormation stack</w:t>
            </w:r>
          </w:p>
        </w:tc>
        <w:tc>
          <w:tcPr>
            <w:tcW w:type="dxa" w:w="4997"/>
            <w:vAlign w:val="center"/>
            <w:shd w:fill="FBF8F8"/>
          </w:tcPr>
          <w:p>
            <w:pPr>
              <w:spacing w:after="20" w:before="20"/>
            </w:pPr>
            <w:r/>
            <w:r>
              <w:rPr>
                <w:rFonts w:ascii="Aptos" w:hAnsi="Aptos"/>
                <w:b w:val="0"/>
                <w:color w:val="23191A"/>
                <w:sz w:val="16"/>
              </w:rPr>
              <w:t>student-drive-demo; status shown as CREATE_COMPLETE.</w:t>
            </w:r>
          </w:p>
        </w:tc>
      </w:tr>
      <w:tr>
        <w:tc>
          <w:tcPr>
            <w:tcW w:type="dxa" w:w="4997"/>
            <w:vAlign w:val="center"/>
          </w:tcPr>
          <w:p>
            <w:pPr>
              <w:spacing w:after="20" w:before="20"/>
            </w:pPr>
            <w:r/>
            <w:r>
              <w:rPr>
                <w:rFonts w:ascii="Aptos" w:hAnsi="Aptos"/>
                <w:b w:val="0"/>
                <w:color w:val="23191A"/>
                <w:sz w:val="16"/>
              </w:rPr>
              <w:t>DynamoDB</w:t>
            </w:r>
          </w:p>
        </w:tc>
        <w:tc>
          <w:tcPr>
            <w:tcW w:type="dxa" w:w="4997"/>
            <w:vAlign w:val="center"/>
          </w:tcPr>
          <w:p>
            <w:pPr>
              <w:spacing w:after="20" w:before="20"/>
            </w:pPr>
            <w:r/>
            <w:r>
              <w:rPr>
                <w:rFonts w:ascii="Aptos" w:hAnsi="Aptos"/>
                <w:b w:val="0"/>
                <w:color w:val="23191A"/>
                <w:sz w:val="16"/>
              </w:rPr>
              <w:t>StudentDrive_Main; on-demand single-table design with four GSIs and server-side encryption.</w:t>
            </w:r>
          </w:p>
        </w:tc>
      </w:tr>
      <w:tr>
        <w:tc>
          <w:tcPr>
            <w:tcW w:type="dxa" w:w="4997"/>
            <w:vAlign w:val="center"/>
            <w:shd w:fill="FBF8F8"/>
          </w:tcPr>
          <w:p>
            <w:pPr>
              <w:spacing w:after="20" w:before="20"/>
            </w:pPr>
            <w:r/>
            <w:r>
              <w:rPr>
                <w:rFonts w:ascii="Aptos" w:hAnsi="Aptos"/>
                <w:b w:val="0"/>
                <w:color w:val="23191A"/>
                <w:sz w:val="16"/>
              </w:rPr>
              <w:t>S3 bucket</w:t>
            </w:r>
          </w:p>
        </w:tc>
        <w:tc>
          <w:tcPr>
            <w:tcW w:type="dxa" w:w="4997"/>
            <w:vAlign w:val="center"/>
            <w:shd w:fill="FBF8F8"/>
          </w:tcPr>
          <w:p>
            <w:pPr>
              <w:spacing w:after="20" w:before="20"/>
            </w:pPr>
            <w:r/>
            <w:r>
              <w:rPr>
                <w:rFonts w:ascii="Aptos" w:hAnsi="Aptos"/>
                <w:b w:val="0"/>
                <w:color w:val="23191A"/>
                <w:sz w:val="16"/>
              </w:rPr>
              <w:t>student-drive-demo-submissionsbucket-p8wz5kbxvtiz; private, public access blocked, AES-256 encryption, localhost CORS for ports 3000 and 3001.</w:t>
            </w:r>
          </w:p>
        </w:tc>
      </w:tr>
      <w:tr>
        <w:tc>
          <w:tcPr>
            <w:tcW w:type="dxa" w:w="4997"/>
            <w:vAlign w:val="center"/>
          </w:tcPr>
          <w:p>
            <w:pPr>
              <w:spacing w:after="20" w:before="20"/>
            </w:pPr>
            <w:r/>
            <w:r>
              <w:rPr>
                <w:rFonts w:ascii="Aptos" w:hAnsi="Aptos"/>
                <w:b w:val="0"/>
                <w:color w:val="23191A"/>
                <w:sz w:val="16"/>
              </w:rPr>
              <w:t>Cognito User Pool</w:t>
            </w:r>
          </w:p>
        </w:tc>
        <w:tc>
          <w:tcPr>
            <w:tcW w:type="dxa" w:w="4997"/>
            <w:vAlign w:val="center"/>
          </w:tcPr>
          <w:p>
            <w:pPr>
              <w:spacing w:after="20" w:before="20"/>
            </w:pPr>
            <w:r/>
            <w:r>
              <w:rPr>
                <w:rFonts w:ascii="Aptos" w:hAnsi="Aptos"/>
                <w:b w:val="0"/>
                <w:color w:val="23191A"/>
                <w:sz w:val="16"/>
              </w:rPr>
              <w:t>StudentDriveUsers; pool ID ap-south-1_x2swU9OEO.</w:t>
            </w:r>
          </w:p>
        </w:tc>
      </w:tr>
      <w:tr>
        <w:tc>
          <w:tcPr>
            <w:tcW w:type="dxa" w:w="4997"/>
            <w:vAlign w:val="center"/>
            <w:shd w:fill="FBF8F8"/>
          </w:tcPr>
          <w:p>
            <w:pPr>
              <w:spacing w:after="20" w:before="20"/>
            </w:pPr>
            <w:r/>
            <w:r>
              <w:rPr>
                <w:rFonts w:ascii="Aptos" w:hAnsi="Aptos"/>
                <w:b w:val="0"/>
                <w:color w:val="23191A"/>
                <w:sz w:val="16"/>
              </w:rPr>
              <w:t>Cognito app client</w:t>
            </w:r>
          </w:p>
        </w:tc>
        <w:tc>
          <w:tcPr>
            <w:tcW w:type="dxa" w:w="4997"/>
            <w:vAlign w:val="center"/>
            <w:shd w:fill="FBF8F8"/>
          </w:tcPr>
          <w:p>
            <w:pPr>
              <w:spacing w:after="20" w:before="20"/>
            </w:pPr>
            <w:r/>
            <w:r>
              <w:rPr>
                <w:rFonts w:ascii="Aptos" w:hAnsi="Aptos"/>
                <w:b w:val="0"/>
                <w:color w:val="23191A"/>
                <w:sz w:val="16"/>
              </w:rPr>
              <w:t>StudentDriveWeb; client ID 7o759352aaei4lqt0odcnnm48n; public client with no client secret.</w:t>
            </w:r>
          </w:p>
        </w:tc>
      </w:tr>
      <w:tr>
        <w:tc>
          <w:tcPr>
            <w:tcW w:type="dxa" w:w="4997"/>
            <w:vAlign w:val="center"/>
          </w:tcPr>
          <w:p>
            <w:pPr>
              <w:spacing w:after="20" w:before="20"/>
            </w:pPr>
            <w:r/>
            <w:r>
              <w:rPr>
                <w:rFonts w:ascii="Aptos" w:hAnsi="Aptos"/>
                <w:b w:val="0"/>
                <w:color w:val="23191A"/>
                <w:sz w:val="16"/>
              </w:rPr>
              <w:t>Cognito groups</w:t>
            </w:r>
          </w:p>
        </w:tc>
        <w:tc>
          <w:tcPr>
            <w:tcW w:type="dxa" w:w="4997"/>
            <w:vAlign w:val="center"/>
          </w:tcPr>
          <w:p>
            <w:pPr>
              <w:spacing w:after="20" w:before="20"/>
            </w:pPr>
            <w:r/>
            <w:r>
              <w:rPr>
                <w:rFonts w:ascii="Aptos" w:hAnsi="Aptos"/>
                <w:b w:val="0"/>
                <w:color w:val="23191A"/>
                <w:sz w:val="16"/>
              </w:rPr>
              <w:t>Students and Faculty.</w:t>
            </w:r>
          </w:p>
        </w:tc>
      </w:tr>
      <w:tr>
        <w:tc>
          <w:tcPr>
            <w:tcW w:type="dxa" w:w="4997"/>
            <w:vAlign w:val="center"/>
            <w:shd w:fill="FBF8F8"/>
          </w:tcPr>
          <w:p>
            <w:pPr>
              <w:spacing w:after="20" w:before="20"/>
            </w:pPr>
            <w:r/>
            <w:r>
              <w:rPr>
                <w:rFonts w:ascii="Aptos" w:hAnsi="Aptos"/>
                <w:b w:val="0"/>
                <w:color w:val="23191A"/>
                <w:sz w:val="16"/>
              </w:rPr>
              <w:t>IAM policy</w:t>
            </w:r>
          </w:p>
        </w:tc>
        <w:tc>
          <w:tcPr>
            <w:tcW w:type="dxa" w:w="4997"/>
            <w:vAlign w:val="center"/>
            <w:shd w:fill="FBF8F8"/>
          </w:tcPr>
          <w:p>
            <w:pPr>
              <w:spacing w:after="20" w:before="20"/>
            </w:pPr>
            <w:r/>
            <w:r>
              <w:rPr>
                <w:rFonts w:ascii="Aptos" w:hAnsi="Aptos"/>
                <w:b w:val="0"/>
                <w:color w:val="23191A"/>
                <w:sz w:val="16"/>
              </w:rPr>
              <w:t>StudentDriveRuntimePolicy; grants the backend scoped DynamoDB table/index operations and S3 object read/write.</w:t>
            </w:r>
          </w:p>
        </w:tc>
      </w:tr>
      <w:tr>
        <w:tc>
          <w:tcPr>
            <w:tcW w:type="dxa" w:w="4997"/>
            <w:vAlign w:val="center"/>
          </w:tcPr>
          <w:p>
            <w:pPr>
              <w:spacing w:after="20" w:before="20"/>
            </w:pPr>
            <w:r/>
            <w:r>
              <w:rPr>
                <w:rFonts w:ascii="Aptos" w:hAnsi="Aptos"/>
                <w:b w:val="0"/>
                <w:color w:val="23191A"/>
                <w:sz w:val="16"/>
              </w:rPr>
              <w:t>IAM Identity Center</w:t>
            </w:r>
          </w:p>
        </w:tc>
        <w:tc>
          <w:tcPr>
            <w:tcW w:type="dxa" w:w="4997"/>
            <w:vAlign w:val="center"/>
          </w:tcPr>
          <w:p>
            <w:pPr>
              <w:spacing w:after="20" w:before="20"/>
            </w:pPr>
            <w:r/>
            <w:r>
              <w:rPr>
                <w:rFonts w:ascii="Aptos" w:hAnsi="Aptos"/>
                <w:b w:val="0"/>
                <w:color w:val="23191A"/>
                <w:sz w:val="16"/>
              </w:rPr>
              <w:t>AWS CLI profile student-drive and permission set StudentDriveLocalDeveloper were configured and assigned to the AWS account.</w:t>
            </w:r>
          </w:p>
        </w:tc>
      </w:tr>
    </w:tbl>
    <w:p>
      <w:pPr>
        <w:spacing w:after="20"/>
      </w:pPr>
    </w:p>
    <w:tbl>
      <w:tblPr>
        <w:tblW w:type="auto" w:w="0"/>
        <w:jc w:val="center"/>
        <w:tblLook w:firstColumn="1" w:firstRow="1" w:lastColumn="0" w:lastRow="0" w:noHBand="0" w:noVBand="1" w:val="04A0"/>
      </w:tblPr>
      <w:tblGrid>
        <w:gridCol w:w="9994"/>
      </w:tblGrid>
      <w:tr>
        <w:tc>
          <w:tcPr>
            <w:tcW w:type="dxa" w:w="9994"/>
            <w:shd w:fill="F8F0F1"/>
            <w:vAlign w:val="center"/>
          </w:tcPr>
          <w:p>
            <w:pPr>
              <w:spacing w:after="20" w:before="20"/>
            </w:pPr>
            <w:r/>
            <w:r>
              <w:rPr>
                <w:rFonts w:ascii="Aptos" w:hAnsi="Aptos"/>
                <w:b w:val="0"/>
                <w:color w:val="23191A"/>
                <w:sz w:val="18"/>
              </w:rPr>
              <w:t>There are two separate logins: IAM Identity Center / AWS SSO is for the developer’s AWS CLI access; Cognito email/password is for signing in to Student Drive. The passwords are unrelated.</w:t>
            </w:r>
          </w:p>
        </w:tc>
      </w:tr>
    </w:tbl>
    <w:p>
      <w:pPr>
        <w:spacing w:after="20"/>
      </w:pPr>
    </w:p>
    <w:p>
      <w:r>
        <w:t>The deployed stack output values are in the workspace .env file. That file is excluded from Git. This handoff intentionally does not include passwords, reset codes, SSO tokens, or access keys.</w:t>
      </w:r>
    </w:p>
    <w:p>
      <w:pPr>
        <w:pStyle w:val="Heading1"/>
      </w:pPr>
      <w:r>
        <w:t>5  Cognito user and current sign-in status</w:t>
      </w:r>
    </w:p>
    <w:p>
      <w:pPr>
        <w:pStyle w:val="ListBullet"/>
      </w:pPr>
      <w:r>
        <w:t>A Cognito student user was created for the demo email mayuramale6@gmail.com. The user’s custom:roll_no was set to CS-2023-084, email was marked verified, and the user was added to the Students group.</w:t>
      </w:r>
    </w:p>
    <w:p>
      <w:pPr>
        <w:pStyle w:val="ListBullet"/>
      </w:pPr>
      <w:r>
        <w:t>Cognito was configured to accept email as the username. Use the Cognito user’s email in the Student Drive login form, not the AWS console username or SSO password.</w:t>
      </w:r>
    </w:p>
    <w:p>
      <w:pPr>
        <w:pStyle w:val="ListBullet"/>
      </w:pPr>
      <w:r>
        <w:t>The app returned HTTP 401 from POST /api/auth/login with the message to check the Cognito username and password. This means the login request reached the app and Cognito rejected the entered credentials; it is distinct from localhost being unreachable.</w:t>
      </w:r>
    </w:p>
    <w:p>
      <w:pPr>
        <w:pStyle w:val="ListBullet"/>
      </w:pPr>
      <w:r>
        <w:t>The user reported no invitation email and later requested a password reset from the Cognito console. The reset code is not an AWS SSO code.</w:t>
      </w:r>
    </w:p>
    <w:p>
      <w:r>
        <w:t>A code-based Cognito password-reset flow was just added to the project: the login page now exposes Forgot password? in Cognito mode; the backend has /api/auth/forgot-password and /api/auth/confirm-forgot-password routes. After the server restarts, request a fresh code through the app, use the newest email code, and set a new password. The configured pool requires at least 10 characters, including uppercase, lowercase, a number, and a symbol. A prior code may stop working after requesting another.</w:t>
      </w:r>
    </w:p>
    <w:tbl>
      <w:tblPr>
        <w:tblW w:type="auto" w:w="0"/>
        <w:jc w:val="center"/>
        <w:tblLook w:firstColumn="1" w:firstRow="1" w:lastColumn="0" w:lastRow="0" w:noHBand="0" w:noVBand="1" w:val="04A0"/>
      </w:tblPr>
      <w:tblGrid>
        <w:gridCol w:w="9994"/>
      </w:tblGrid>
      <w:tr>
        <w:tc>
          <w:tcPr>
            <w:tcW w:type="dxa" w:w="9994"/>
            <w:shd w:fill="FEF7DE"/>
            <w:vAlign w:val="center"/>
          </w:tcPr>
          <w:p>
            <w:pPr>
              <w:spacing w:after="20" w:before="20"/>
            </w:pPr>
            <w:r/>
            <w:r>
              <w:rPr>
                <w:rFonts w:ascii="Aptos" w:hAnsi="Aptos"/>
                <w:b w:val="0"/>
                <w:color w:val="23191A"/>
                <w:sz w:val="18"/>
              </w:rPr>
              <w:t>Pending verification: restart the locally running server, request a fresh reset code, reset the Cognito password, and successfully sign in. The code changes have not been exercised against the live user pool yet.</w:t>
            </w:r>
          </w:p>
        </w:tc>
      </w:tr>
    </w:tbl>
    <w:p>
      <w:pPr>
        <w:spacing w:after="20"/>
      </w:pPr>
    </w:p>
    <w:p>
      <w:pPr>
        <w:pStyle w:val="Heading1"/>
      </w:pPr>
      <w:r>
        <w:t>6  Start the demo after a device restart</w:t>
      </w:r>
    </w:p>
    <w:p>
      <w:pPr>
        <w:pStyle w:val="ListNumber"/>
      </w:pPr>
      <w:r>
        <w:t>Open the project folder in Windows Explorer: D:\Users\mayur\Desktop\Cloud-Computing-Mini-Project.</w:t>
      </w:r>
    </w:p>
    <w:p>
      <w:pPr>
        <w:pStyle w:val="ListNumber"/>
      </w:pPr>
      <w:r>
        <w:t>Double-click start-aws-demo.cmd. It runs aws sso login --profile student-drive and then node server.js.</w:t>
      </w:r>
    </w:p>
    <w:p>
      <w:pPr>
        <w:pStyle w:val="ListNumber"/>
      </w:pPr>
      <w:r>
        <w:t>Complete the AWS SSO browser sign-in if prompted. Keep the command window open while using the demo.</w:t>
      </w:r>
    </w:p>
    <w:p>
      <w:pPr>
        <w:pStyle w:val="ListNumber"/>
      </w:pPr>
      <w:r>
        <w:t>Open or refresh http://localhost:3001 in Chrome on the same computer.</w:t>
      </w:r>
    </w:p>
    <w:p>
      <w:pPr>
        <w:pStyle w:val="ListNumber"/>
      </w:pPr>
      <w:r>
        <w:t>For password reset, enter the Cognito email, click Forgot password?, check Gmail (including Spam), enter the latest code, choose and confirm a new password, then sign in with that new password.</w:t>
      </w:r>
    </w:p>
    <w:p>
      <w:r>
        <w:t>The server reads .env at startup. After changing backend code, stop the running Node process with Ctrl+C and start it again. The most recent reset-flow changes require this restart. Do not run two copies on port 3001; a second copy can report EADDRINUSE.</w:t>
      </w:r>
    </w:p>
    <w:p>
      <w:pPr>
        <w:pStyle w:val="Heading1"/>
      </w:pPr>
      <w:r>
        <w:t>7  Suggested teacher demo sequence</w:t>
      </w:r>
    </w:p>
    <w:p>
      <w:pPr>
        <w:pStyle w:val="ListNumber"/>
      </w:pPr>
      <w:r>
        <w:t>Start the server and sign in as the Cognito student. Show the student dashboard, subject/assignment view, and submissions.</w:t>
      </w:r>
    </w:p>
    <w:p>
      <w:pPr>
        <w:pStyle w:val="ListNumber"/>
      </w:pPr>
      <w:r>
        <w:t>Open Upload Work, choose an assignment, select a supported file smaller than 25 MB, add a short note, select Initial or Revision, and submit.</w:t>
      </w:r>
    </w:p>
    <w:p>
      <w:pPr>
        <w:pStyle w:val="ListNumber"/>
      </w:pPr>
      <w:r>
        <w:t>Show the returned version, file name, and submission status. For a live AWS proof, open the S3 bucket in the AWS console and confirm the matching object under assignments/.</w:t>
      </w:r>
    </w:p>
    <w:p>
      <w:pPr>
        <w:pStyle w:val="ListNumber"/>
      </w:pPr>
      <w:r>
        <w:t>Sign out and sign in as a faculty Cognito user. That account must be in the Faculty group, have custom:roll_no FAC-CSE-042 (or another seeded faculty ID), and map to a faculty profile in DynamoDB.</w:t>
      </w:r>
    </w:p>
    <w:p>
      <w:pPr>
        <w:pStyle w:val="ListNumber"/>
      </w:pPr>
      <w:r>
        <w:t>Open Teacher Dashboard, inspect a submission, adjust rubric scores, enter feedback, and select Request Changes or Approve &amp; Record.</w:t>
      </w:r>
    </w:p>
    <w:p>
      <w:r>
        <w:t>Only the student Cognito user is confirmed in the conversation. A faculty Cognito test user and a successful post-deployment end-to-end upload/review should be checked before promising a complete live two-role demonstration.</w:t>
      </w:r>
    </w:p>
    <w:p>
      <w:pPr>
        <w:pStyle w:val="Heading1"/>
      </w:pPr>
      <w:r>
        <w:t>8  Confirm where AWS data is stored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vAlign w:val="center"/>
            <w:shd w:fill="800020"/>
          </w:tcPr>
          <w:p>
            <w:pPr>
              <w:spacing w:after="20" w:before="20"/>
            </w:pPr>
            <w:r/>
            <w:r>
              <w:rPr>
                <w:rFonts w:ascii="Aptos" w:hAnsi="Aptos"/>
                <w:b/>
                <w:color w:val="FFFFFF"/>
                <w:sz w:val="17"/>
              </w:rPr>
              <w:t>What to inspect</w:t>
            </w:r>
          </w:p>
        </w:tc>
        <w:tc>
          <w:tcPr>
            <w:tcW w:type="dxa" w:w="4997"/>
            <w:vAlign w:val="center"/>
            <w:shd w:fill="800020"/>
          </w:tcPr>
          <w:p>
            <w:pPr>
              <w:spacing w:after="20" w:before="20"/>
            </w:pPr>
            <w:r/>
            <w:r>
              <w:rPr>
                <w:rFonts w:ascii="Aptos" w:hAnsi="Aptos"/>
                <w:b/>
                <w:color w:val="FFFFFF"/>
                <w:sz w:val="17"/>
              </w:rPr>
              <w:t>Console path</w:t>
            </w:r>
          </w:p>
        </w:tc>
      </w:tr>
      <w:tr>
        <w:tc>
          <w:tcPr>
            <w:tcW w:type="dxa" w:w="4997"/>
            <w:vAlign w:val="center"/>
            <w:shd w:fill="FBF8F8"/>
          </w:tcPr>
          <w:p>
            <w:pPr>
              <w:spacing w:after="20" w:before="20"/>
            </w:pPr>
            <w:r/>
            <w:r>
              <w:rPr>
                <w:rFonts w:ascii="Aptos" w:hAnsi="Aptos"/>
                <w:b w:val="0"/>
                <w:color w:val="23191A"/>
                <w:sz w:val="16"/>
              </w:rPr>
              <w:t>Uploaded file bytes</w:t>
            </w:r>
          </w:p>
        </w:tc>
        <w:tc>
          <w:tcPr>
            <w:tcW w:type="dxa" w:w="4997"/>
            <w:vAlign w:val="center"/>
            <w:shd w:fill="FBF8F8"/>
          </w:tcPr>
          <w:p>
            <w:pPr>
              <w:spacing w:after="20" w:before="20"/>
            </w:pPr>
            <w:r/>
            <w:r>
              <w:rPr>
                <w:rFonts w:ascii="Aptos" w:hAnsi="Aptos"/>
                <w:b w:val="0"/>
                <w:color w:val="23191A"/>
                <w:sz w:val="16"/>
              </w:rPr>
              <w:t>AWS Console → S3 → bucket student-drive-demo-submissionsbucket-p8wz5kbxvtiz → Objects → assignments/</w:t>
            </w:r>
          </w:p>
        </w:tc>
      </w:tr>
      <w:tr>
        <w:tc>
          <w:tcPr>
            <w:tcW w:type="dxa" w:w="4997"/>
            <w:vAlign w:val="center"/>
          </w:tcPr>
          <w:p>
            <w:pPr>
              <w:spacing w:after="20" w:before="20"/>
            </w:pPr>
            <w:r/>
            <w:r>
              <w:rPr>
                <w:rFonts w:ascii="Aptos" w:hAnsi="Aptos"/>
                <w:b w:val="0"/>
                <w:color w:val="23191A"/>
                <w:sz w:val="16"/>
              </w:rPr>
              <w:t>Application records</w:t>
            </w:r>
          </w:p>
        </w:tc>
        <w:tc>
          <w:tcPr>
            <w:tcW w:type="dxa" w:w="4997"/>
            <w:vAlign w:val="center"/>
          </w:tcPr>
          <w:p>
            <w:pPr>
              <w:spacing w:after="20" w:before="20"/>
            </w:pPr>
            <w:r/>
            <w:r>
              <w:rPr>
                <w:rFonts w:ascii="Aptos" w:hAnsi="Aptos"/>
                <w:b w:val="0"/>
                <w:color w:val="23191A"/>
                <w:sz w:val="16"/>
              </w:rPr>
              <w:t>AWS Console → DynamoDB → Tables → StudentDrive_Main → Explore table items.</w:t>
            </w:r>
          </w:p>
        </w:tc>
      </w:tr>
      <w:tr>
        <w:tc>
          <w:tcPr>
            <w:tcW w:type="dxa" w:w="4997"/>
            <w:vAlign w:val="center"/>
            <w:shd w:fill="FBF8F8"/>
          </w:tcPr>
          <w:p>
            <w:pPr>
              <w:spacing w:after="20" w:before="20"/>
            </w:pPr>
            <w:r/>
            <w:r>
              <w:rPr>
                <w:rFonts w:ascii="Aptos" w:hAnsi="Aptos"/>
                <w:b w:val="0"/>
                <w:color w:val="23191A"/>
                <w:sz w:val="16"/>
              </w:rPr>
              <w:t>Student account</w:t>
            </w:r>
          </w:p>
        </w:tc>
        <w:tc>
          <w:tcPr>
            <w:tcW w:type="dxa" w:w="4997"/>
            <w:vAlign w:val="center"/>
            <w:shd w:fill="FBF8F8"/>
          </w:tcPr>
          <w:p>
            <w:pPr>
              <w:spacing w:after="20" w:before="20"/>
            </w:pPr>
            <w:r/>
            <w:r>
              <w:rPr>
                <w:rFonts w:ascii="Aptos" w:hAnsi="Aptos"/>
                <w:b w:val="0"/>
                <w:color w:val="23191A"/>
                <w:sz w:val="16"/>
              </w:rPr>
              <w:t>AWS Console → Cognito → User pools → StudentDriveUsers → Users.</w:t>
            </w:r>
          </w:p>
        </w:tc>
      </w:tr>
      <w:tr>
        <w:tc>
          <w:tcPr>
            <w:tcW w:type="dxa" w:w="4997"/>
            <w:vAlign w:val="center"/>
          </w:tcPr>
          <w:p>
            <w:pPr>
              <w:spacing w:after="20" w:before="20"/>
            </w:pPr>
            <w:r/>
            <w:r>
              <w:rPr>
                <w:rFonts w:ascii="Aptos" w:hAnsi="Aptos"/>
                <w:b w:val="0"/>
                <w:color w:val="23191A"/>
                <w:sz w:val="16"/>
              </w:rPr>
              <w:t>Deployed resources</w:t>
            </w:r>
          </w:p>
        </w:tc>
        <w:tc>
          <w:tcPr>
            <w:tcW w:type="dxa" w:w="4997"/>
            <w:vAlign w:val="center"/>
          </w:tcPr>
          <w:p>
            <w:pPr>
              <w:spacing w:after="20" w:before="20"/>
            </w:pPr>
            <w:r/>
            <w:r>
              <w:rPr>
                <w:rFonts w:ascii="Aptos" w:hAnsi="Aptos"/>
                <w:b w:val="0"/>
                <w:color w:val="23191A"/>
                <w:sz w:val="16"/>
              </w:rPr>
              <w:t>AWS Console → CloudFormation → Stacks → student-drive-demo → Resources / Outputs.</w:t>
            </w:r>
          </w:p>
        </w:tc>
      </w:tr>
    </w:tbl>
    <w:p>
      <w:pPr>
        <w:spacing w:after="20"/>
      </w:pPr>
    </w:p>
    <w:p>
      <w:r>
        <w:t>A previous screenshot showed Local Persistent DB and a simulated S3 label before AWS was connected. Treat that screenshot as local/mock evidence only. Confirm a fresh AWS-mode upload by opening the actual S3 bucket and matching the object key; confirm the related submission record in DynamoDB.</w:t>
      </w:r>
    </w:p>
    <w:p>
      <w:pPr>
        <w:pStyle w:val="Heading1"/>
      </w:pPr>
      <w:r>
        <w:t>9  Common errors and what they mean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vAlign w:val="center"/>
            <w:shd w:fill="800020"/>
          </w:tcPr>
          <w:p>
            <w:pPr>
              <w:spacing w:after="20" w:before="20"/>
            </w:pPr>
            <w:r/>
            <w:r>
              <w:rPr>
                <w:rFonts w:ascii="Aptos" w:hAnsi="Aptos"/>
                <w:b/>
                <w:color w:val="FFFFFF"/>
                <w:sz w:val="17"/>
              </w:rPr>
              <w:t>Symptom</w:t>
            </w:r>
          </w:p>
        </w:tc>
        <w:tc>
          <w:tcPr>
            <w:tcW w:type="dxa" w:w="4997"/>
            <w:vAlign w:val="center"/>
            <w:shd w:fill="800020"/>
          </w:tcPr>
          <w:p>
            <w:pPr>
              <w:spacing w:after="20" w:before="20"/>
            </w:pPr>
            <w:r/>
            <w:r>
              <w:rPr>
                <w:rFonts w:ascii="Aptos" w:hAnsi="Aptos"/>
                <w:b/>
                <w:color w:val="FFFFFF"/>
                <w:sz w:val="17"/>
              </w:rPr>
              <w:t>Meaning and next action</w:t>
            </w:r>
          </w:p>
        </w:tc>
      </w:tr>
      <w:tr>
        <w:tc>
          <w:tcPr>
            <w:tcW w:type="dxa" w:w="4997"/>
            <w:vAlign w:val="center"/>
            <w:shd w:fill="FBF8F8"/>
          </w:tcPr>
          <w:p>
            <w:pPr>
              <w:spacing w:after="20" w:before="20"/>
            </w:pPr>
            <w:r/>
            <w:r>
              <w:rPr>
                <w:rFonts w:ascii="Aptos" w:hAnsi="Aptos"/>
                <w:b w:val="0"/>
                <w:color w:val="23191A"/>
                <w:sz w:val="16"/>
              </w:rPr>
              <w:t>localhost:3001 refused</w:t>
            </w:r>
          </w:p>
        </w:tc>
        <w:tc>
          <w:tcPr>
            <w:tcW w:type="dxa" w:w="4997"/>
            <w:vAlign w:val="center"/>
            <w:shd w:fill="FBF8F8"/>
          </w:tcPr>
          <w:p>
            <w:pPr>
              <w:spacing w:after="20" w:before="20"/>
            </w:pPr>
            <w:r/>
            <w:r>
              <w:rPr>
                <w:rFonts w:ascii="Aptos" w:hAnsi="Aptos"/>
                <w:b w:val="0"/>
                <w:color w:val="23191A"/>
                <w:sz w:val="16"/>
              </w:rPr>
              <w:t>The server is stopped or the browser cannot reach the process. Start start-aws-demo.cmd on the same Windows machine and leave its window open.</w:t>
            </w:r>
          </w:p>
        </w:tc>
      </w:tr>
      <w:tr>
        <w:tc>
          <w:tcPr>
            <w:tcW w:type="dxa" w:w="4997"/>
            <w:vAlign w:val="center"/>
          </w:tcPr>
          <w:p>
            <w:pPr>
              <w:spacing w:after="20" w:before="20"/>
            </w:pPr>
            <w:r/>
            <w:r>
              <w:rPr>
                <w:rFonts w:ascii="Aptos" w:hAnsi="Aptos"/>
                <w:b w:val="0"/>
                <w:color w:val="23191A"/>
                <w:sz w:val="16"/>
              </w:rPr>
              <w:t>401 on /api/auth/login</w:t>
            </w:r>
          </w:p>
        </w:tc>
        <w:tc>
          <w:tcPr>
            <w:tcW w:type="dxa" w:w="4997"/>
            <w:vAlign w:val="center"/>
          </w:tcPr>
          <w:p>
            <w:pPr>
              <w:spacing w:after="20" w:before="20"/>
            </w:pPr>
            <w:r/>
            <w:r>
              <w:rPr>
                <w:rFonts w:ascii="Aptos" w:hAnsi="Aptos"/>
                <w:b w:val="0"/>
                <w:color w:val="23191A"/>
                <w:sz w:val="16"/>
              </w:rPr>
              <w:t>Cognito rejected the username/password. Use the Cognito email and the correct temporary/permanent password; reset through the app if needed.</w:t>
            </w:r>
          </w:p>
        </w:tc>
      </w:tr>
      <w:tr>
        <w:tc>
          <w:tcPr>
            <w:tcW w:type="dxa" w:w="4997"/>
            <w:vAlign w:val="center"/>
            <w:shd w:fill="FBF8F8"/>
          </w:tcPr>
          <w:p>
            <w:pPr>
              <w:spacing w:after="20" w:before="20"/>
            </w:pPr>
            <w:r/>
            <w:r>
              <w:rPr>
                <w:rFonts w:ascii="Aptos" w:hAnsi="Aptos"/>
                <w:b w:val="0"/>
                <w:color w:val="23191A"/>
                <w:sz w:val="16"/>
              </w:rPr>
              <w:t>403 after a successful Cognito login</w:t>
            </w:r>
          </w:p>
        </w:tc>
        <w:tc>
          <w:tcPr>
            <w:tcW w:type="dxa" w:w="4997"/>
            <w:vAlign w:val="center"/>
            <w:shd w:fill="FBF8F8"/>
          </w:tcPr>
          <w:p>
            <w:pPr>
              <w:spacing w:after="20" w:before="20"/>
            </w:pPr>
            <w:r/>
            <w:r>
              <w:rPr>
                <w:rFonts w:ascii="Aptos" w:hAnsi="Aptos"/>
                <w:b w:val="0"/>
                <w:color w:val="23191A"/>
                <w:sz w:val="16"/>
              </w:rPr>
              <w:t>Often a portal-profile mismatch: check custom:roll_no, Cognito group, role, and matching DynamoDB user record.</w:t>
            </w:r>
          </w:p>
        </w:tc>
      </w:tr>
      <w:tr>
        <w:tc>
          <w:tcPr>
            <w:tcW w:type="dxa" w:w="4997"/>
            <w:vAlign w:val="center"/>
          </w:tcPr>
          <w:p>
            <w:pPr>
              <w:spacing w:after="20" w:before="20"/>
            </w:pPr>
            <w:r/>
            <w:r>
              <w:rPr>
                <w:rFonts w:ascii="Aptos" w:hAnsi="Aptos"/>
                <w:b w:val="0"/>
                <w:color w:val="23191A"/>
                <w:sz w:val="16"/>
              </w:rPr>
              <w:t>400 missing filename / assignment / subject</w:t>
            </w:r>
          </w:p>
        </w:tc>
        <w:tc>
          <w:tcPr>
            <w:tcW w:type="dxa" w:w="4997"/>
            <w:vAlign w:val="center"/>
          </w:tcPr>
          <w:p>
            <w:pPr>
              <w:spacing w:after="20" w:before="20"/>
            </w:pPr>
            <w:r/>
            <w:r>
              <w:rPr>
                <w:rFonts w:ascii="Aptos" w:hAnsi="Aptos"/>
                <w:b w:val="0"/>
                <w:color w:val="23191A"/>
                <w:sz w:val="16"/>
              </w:rPr>
              <w:t>Upload pre-sign request needs a chosen file and valid assignment context. Select the assignment in the app and try again.</w:t>
            </w:r>
          </w:p>
        </w:tc>
      </w:tr>
      <w:tr>
        <w:tc>
          <w:tcPr>
            <w:tcW w:type="dxa" w:w="4997"/>
            <w:vAlign w:val="center"/>
            <w:shd w:fill="FBF8F8"/>
          </w:tcPr>
          <w:p>
            <w:pPr>
              <w:spacing w:after="20" w:before="20"/>
            </w:pPr>
            <w:r/>
            <w:r>
              <w:rPr>
                <w:rFonts w:ascii="Aptos" w:hAnsi="Aptos"/>
                <w:b w:val="0"/>
                <w:color w:val="23191A"/>
                <w:sz w:val="16"/>
              </w:rPr>
              <w:t>S3 signing/access error</w:t>
            </w:r>
          </w:p>
        </w:tc>
        <w:tc>
          <w:tcPr>
            <w:tcW w:type="dxa" w:w="4997"/>
            <w:vAlign w:val="center"/>
            <w:shd w:fill="FBF8F8"/>
          </w:tcPr>
          <w:p>
            <w:pPr>
              <w:spacing w:after="20" w:before="20"/>
            </w:pPr>
            <w:r/>
            <w:r>
              <w:rPr>
                <w:rFonts w:ascii="Aptos" w:hAnsi="Aptos"/>
                <w:b w:val="0"/>
                <w:color w:val="23191A"/>
                <w:sz w:val="16"/>
              </w:rPr>
              <w:t>Check AWS SSO session, AWS_PROFILE=student-drive, runtime policy attachment, region, bucket name, and S3 permissions.</w:t>
            </w:r>
          </w:p>
        </w:tc>
      </w:tr>
      <w:tr>
        <w:tc>
          <w:tcPr>
            <w:tcW w:type="dxa" w:w="4997"/>
            <w:vAlign w:val="center"/>
          </w:tcPr>
          <w:p>
            <w:pPr>
              <w:spacing w:after="20" w:before="20"/>
            </w:pPr>
            <w:r/>
            <w:r>
              <w:rPr>
                <w:rFonts w:ascii="Aptos" w:hAnsi="Aptos"/>
                <w:b w:val="0"/>
                <w:color w:val="23191A"/>
                <w:sz w:val="16"/>
              </w:rPr>
              <w:t>EADDRINUSE on 3001</w:t>
            </w:r>
          </w:p>
        </w:tc>
        <w:tc>
          <w:tcPr>
            <w:tcW w:type="dxa" w:w="4997"/>
            <w:vAlign w:val="center"/>
          </w:tcPr>
          <w:p>
            <w:pPr>
              <w:spacing w:after="20" w:before="20"/>
            </w:pPr>
            <w:r/>
            <w:r>
              <w:rPr>
                <w:rFonts w:ascii="Aptos" w:hAnsi="Aptos"/>
                <w:b w:val="0"/>
                <w:color w:val="23191A"/>
                <w:sz w:val="16"/>
              </w:rPr>
              <w:t>Another process already uses the port. Close the earlier server window before launching another copy.</w:t>
            </w:r>
          </w:p>
        </w:tc>
      </w:tr>
    </w:tbl>
    <w:p>
      <w:pPr>
        <w:spacing w:after="20"/>
      </w:pPr>
    </w:p>
    <w:p>
      <w:pPr>
        <w:pStyle w:val="Heading1"/>
      </w:pPr>
      <w:r>
        <w:t>10  Repository map</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997"/>
            <w:vAlign w:val="center"/>
            <w:shd w:fill="800020"/>
          </w:tcPr>
          <w:p>
            <w:pPr>
              <w:spacing w:after="20" w:before="20"/>
            </w:pPr>
            <w:r/>
            <w:r>
              <w:rPr>
                <w:rFonts w:ascii="Aptos" w:hAnsi="Aptos"/>
                <w:b/>
                <w:color w:val="FFFFFF"/>
                <w:sz w:val="17"/>
              </w:rPr>
              <w:t>Path</w:t>
            </w:r>
          </w:p>
        </w:tc>
        <w:tc>
          <w:tcPr>
            <w:tcW w:type="dxa" w:w="4997"/>
            <w:vAlign w:val="center"/>
            <w:shd w:fill="800020"/>
          </w:tcPr>
          <w:p>
            <w:pPr>
              <w:spacing w:after="20" w:before="20"/>
            </w:pPr>
            <w:r/>
            <w:r>
              <w:rPr>
                <w:rFonts w:ascii="Aptos" w:hAnsi="Aptos"/>
                <w:b/>
                <w:color w:val="FFFFFF"/>
                <w:sz w:val="17"/>
              </w:rPr>
              <w:t>Role</w:t>
            </w:r>
          </w:p>
        </w:tc>
      </w:tr>
      <w:tr>
        <w:tc>
          <w:tcPr>
            <w:tcW w:type="dxa" w:w="4997"/>
            <w:vAlign w:val="center"/>
            <w:shd w:fill="FBF8F8"/>
          </w:tcPr>
          <w:p>
            <w:pPr>
              <w:spacing w:after="20" w:before="20"/>
            </w:pPr>
            <w:r/>
            <w:r>
              <w:rPr>
                <w:rFonts w:ascii="Aptos" w:hAnsi="Aptos"/>
                <w:b w:val="0"/>
                <w:color w:val="23191A"/>
                <w:sz w:val="16"/>
              </w:rPr>
              <w:t>index.html</w:t>
            </w:r>
          </w:p>
        </w:tc>
        <w:tc>
          <w:tcPr>
            <w:tcW w:type="dxa" w:w="4997"/>
            <w:vAlign w:val="center"/>
            <w:shd w:fill="FBF8F8"/>
          </w:tcPr>
          <w:p>
            <w:pPr>
              <w:spacing w:after="20" w:before="20"/>
            </w:pPr>
            <w:r/>
            <w:r>
              <w:rPr>
                <w:rFonts w:ascii="Aptos" w:hAnsi="Aptos"/>
                <w:b w:val="0"/>
                <w:color w:val="23191A"/>
                <w:sz w:val="16"/>
              </w:rPr>
              <w:t>Main SPA, UI routes, login, upload, submission, and grading screens.</w:t>
            </w:r>
          </w:p>
        </w:tc>
      </w:tr>
      <w:tr>
        <w:tc>
          <w:tcPr>
            <w:tcW w:type="dxa" w:w="4997"/>
            <w:vAlign w:val="center"/>
          </w:tcPr>
          <w:p>
            <w:pPr>
              <w:spacing w:after="20" w:before="20"/>
            </w:pPr>
            <w:r/>
            <w:r>
              <w:rPr>
                <w:rFonts w:ascii="Aptos" w:hAnsi="Aptos"/>
                <w:b w:val="0"/>
                <w:color w:val="23191A"/>
                <w:sz w:val="16"/>
              </w:rPr>
              <w:t>server.js</w:t>
            </w:r>
          </w:p>
        </w:tc>
        <w:tc>
          <w:tcPr>
            <w:tcW w:type="dxa" w:w="4997"/>
            <w:vAlign w:val="center"/>
          </w:tcPr>
          <w:p>
            <w:pPr>
              <w:spacing w:after="20" w:before="20"/>
            </w:pPr>
            <w:r/>
            <w:r>
              <w:rPr>
                <w:rFonts w:ascii="Aptos" w:hAnsi="Aptos"/>
                <w:b w:val="0"/>
                <w:color w:val="23191A"/>
                <w:sz w:val="16"/>
              </w:rPr>
              <w:t>Static file server and entry point for API routing; uses PORT from .env (3001 here).</w:t>
            </w:r>
          </w:p>
        </w:tc>
      </w:tr>
      <w:tr>
        <w:tc>
          <w:tcPr>
            <w:tcW w:type="dxa" w:w="4997"/>
            <w:vAlign w:val="center"/>
            <w:shd w:fill="FBF8F8"/>
          </w:tcPr>
          <w:p>
            <w:pPr>
              <w:spacing w:after="20" w:before="20"/>
            </w:pPr>
            <w:r/>
            <w:r>
              <w:rPr>
                <w:rFonts w:ascii="Aptos" w:hAnsi="Aptos"/>
                <w:b w:val="0"/>
                <w:color w:val="23191A"/>
                <w:sz w:val="16"/>
              </w:rPr>
              <w:t>backend/config.js</w:t>
            </w:r>
          </w:p>
        </w:tc>
        <w:tc>
          <w:tcPr>
            <w:tcW w:type="dxa" w:w="4997"/>
            <w:vAlign w:val="center"/>
            <w:shd w:fill="FBF8F8"/>
          </w:tcPr>
          <w:p>
            <w:pPr>
              <w:spacing w:after="20" w:before="20"/>
            </w:pPr>
            <w:r/>
            <w:r>
              <w:rPr>
                <w:rFonts w:ascii="Aptos" w:hAnsi="Aptos"/>
                <w:b w:val="0"/>
                <w:color w:val="23191A"/>
                <w:sz w:val="16"/>
              </w:rPr>
              <w:t>Loads .env and chooses local/AWS storage and auth modes.</w:t>
            </w:r>
          </w:p>
        </w:tc>
      </w:tr>
      <w:tr>
        <w:tc>
          <w:tcPr>
            <w:tcW w:type="dxa" w:w="4997"/>
            <w:vAlign w:val="center"/>
          </w:tcPr>
          <w:p>
            <w:pPr>
              <w:spacing w:after="20" w:before="20"/>
            </w:pPr>
            <w:r/>
            <w:r>
              <w:rPr>
                <w:rFonts w:ascii="Aptos" w:hAnsi="Aptos"/>
                <w:b w:val="0"/>
                <w:color w:val="23191A"/>
                <w:sz w:val="16"/>
              </w:rPr>
              <w:t>backend/routes/api.js</w:t>
            </w:r>
          </w:p>
        </w:tc>
        <w:tc>
          <w:tcPr>
            <w:tcW w:type="dxa" w:w="4997"/>
            <w:vAlign w:val="center"/>
          </w:tcPr>
          <w:p>
            <w:pPr>
              <w:spacing w:after="20" w:before="20"/>
            </w:pPr>
            <w:r/>
            <w:r>
              <w:rPr>
                <w:rFonts w:ascii="Aptos" w:hAnsi="Aptos"/>
                <w:b w:val="0"/>
                <w:color w:val="23191A"/>
                <w:sz w:val="16"/>
              </w:rPr>
              <w:t>REST API, Cognito login/reset, presigned S3 upload/download, submissions, grading.</w:t>
            </w:r>
          </w:p>
        </w:tc>
      </w:tr>
      <w:tr>
        <w:tc>
          <w:tcPr>
            <w:tcW w:type="dxa" w:w="4997"/>
            <w:vAlign w:val="center"/>
            <w:shd w:fill="FBF8F8"/>
          </w:tcPr>
          <w:p>
            <w:pPr>
              <w:spacing w:after="20" w:before="20"/>
            </w:pPr>
            <w:r/>
            <w:r>
              <w:rPr>
                <w:rFonts w:ascii="Aptos" w:hAnsi="Aptos"/>
                <w:b w:val="0"/>
                <w:color w:val="23191A"/>
                <w:sz w:val="16"/>
              </w:rPr>
              <w:t>backend/auth/middleware.js</w:t>
            </w:r>
          </w:p>
        </w:tc>
        <w:tc>
          <w:tcPr>
            <w:tcW w:type="dxa" w:w="4997"/>
            <w:vAlign w:val="center"/>
            <w:shd w:fill="FBF8F8"/>
          </w:tcPr>
          <w:p>
            <w:pPr>
              <w:spacing w:after="20" w:before="20"/>
            </w:pPr>
            <w:r/>
            <w:r>
              <w:rPr>
                <w:rFonts w:ascii="Aptos" w:hAnsi="Aptos"/>
                <w:b w:val="0"/>
                <w:color w:val="23191A"/>
                <w:sz w:val="16"/>
              </w:rPr>
              <w:t>Verifies Cognito ID tokens and maps claims to student/faculty profiles.</w:t>
            </w:r>
          </w:p>
        </w:tc>
      </w:tr>
      <w:tr>
        <w:tc>
          <w:tcPr>
            <w:tcW w:type="dxa" w:w="4997"/>
            <w:vAlign w:val="center"/>
          </w:tcPr>
          <w:p>
            <w:pPr>
              <w:spacing w:after="20" w:before="20"/>
            </w:pPr>
            <w:r/>
            <w:r>
              <w:rPr>
                <w:rFonts w:ascii="Aptos" w:hAnsi="Aptos"/>
                <w:b w:val="0"/>
                <w:color w:val="23191A"/>
                <w:sz w:val="16"/>
              </w:rPr>
              <w:t>backend/storage/local-store.js</w:t>
            </w:r>
          </w:p>
        </w:tc>
        <w:tc>
          <w:tcPr>
            <w:tcW w:type="dxa" w:w="4997"/>
            <w:vAlign w:val="center"/>
          </w:tcPr>
          <w:p>
            <w:pPr>
              <w:spacing w:after="20" w:before="20"/>
            </w:pPr>
            <w:r/>
            <w:r>
              <w:rPr>
                <w:rFonts w:ascii="Aptos" w:hAnsi="Aptos"/>
                <w:b w:val="0"/>
                <w:color w:val="23191A"/>
                <w:sz w:val="16"/>
              </w:rPr>
              <w:t>Local JSON persistence and local uploaded files.</w:t>
            </w:r>
          </w:p>
        </w:tc>
      </w:tr>
      <w:tr>
        <w:tc>
          <w:tcPr>
            <w:tcW w:type="dxa" w:w="4997"/>
            <w:vAlign w:val="center"/>
            <w:shd w:fill="FBF8F8"/>
          </w:tcPr>
          <w:p>
            <w:pPr>
              <w:spacing w:after="20" w:before="20"/>
            </w:pPr>
            <w:r/>
            <w:r>
              <w:rPr>
                <w:rFonts w:ascii="Aptos" w:hAnsi="Aptos"/>
                <w:b w:val="0"/>
                <w:color w:val="23191A"/>
                <w:sz w:val="16"/>
              </w:rPr>
              <w:t>backend/storage/dynamodb-store.js</w:t>
            </w:r>
          </w:p>
        </w:tc>
        <w:tc>
          <w:tcPr>
            <w:tcW w:type="dxa" w:w="4997"/>
            <w:vAlign w:val="center"/>
            <w:shd w:fill="FBF8F8"/>
          </w:tcPr>
          <w:p>
            <w:pPr>
              <w:spacing w:after="20" w:before="20"/>
            </w:pPr>
            <w:r/>
            <w:r>
              <w:rPr>
                <w:rFonts w:ascii="Aptos" w:hAnsi="Aptos"/>
                <w:b w:val="0"/>
                <w:color w:val="23191A"/>
                <w:sz w:val="16"/>
              </w:rPr>
              <w:t>AWS DynamoDB implementation.</w:t>
            </w:r>
          </w:p>
        </w:tc>
      </w:tr>
      <w:tr>
        <w:tc>
          <w:tcPr>
            <w:tcW w:type="dxa" w:w="4997"/>
            <w:vAlign w:val="center"/>
          </w:tcPr>
          <w:p>
            <w:pPr>
              <w:spacing w:after="20" w:before="20"/>
            </w:pPr>
            <w:r/>
            <w:r>
              <w:rPr>
                <w:rFonts w:ascii="Aptos" w:hAnsi="Aptos"/>
                <w:b w:val="0"/>
                <w:color w:val="23191A"/>
                <w:sz w:val="16"/>
              </w:rPr>
              <w:t>backend/storage/seed-data.js</w:t>
            </w:r>
          </w:p>
        </w:tc>
        <w:tc>
          <w:tcPr>
            <w:tcW w:type="dxa" w:w="4997"/>
            <w:vAlign w:val="center"/>
          </w:tcPr>
          <w:p>
            <w:pPr>
              <w:spacing w:after="20" w:before="20"/>
            </w:pPr>
            <w:r/>
            <w:r>
              <w:rPr>
                <w:rFonts w:ascii="Aptos" w:hAnsi="Aptos"/>
                <w:b w:val="0"/>
                <w:color w:val="23191A"/>
                <w:sz w:val="16"/>
              </w:rPr>
              <w:t>Sample student/faculty profiles, subjects, assignments, and submissions.</w:t>
            </w:r>
          </w:p>
        </w:tc>
      </w:tr>
      <w:tr>
        <w:tc>
          <w:tcPr>
            <w:tcW w:type="dxa" w:w="4997"/>
            <w:vAlign w:val="center"/>
            <w:shd w:fill="FBF8F8"/>
          </w:tcPr>
          <w:p>
            <w:pPr>
              <w:spacing w:after="20" w:before="20"/>
            </w:pPr>
            <w:r/>
            <w:r>
              <w:rPr>
                <w:rFonts w:ascii="Aptos" w:hAnsi="Aptos"/>
                <w:b w:val="0"/>
                <w:color w:val="23191A"/>
                <w:sz w:val="16"/>
              </w:rPr>
              <w:t>scripts/setup-dynamodb.js</w:t>
            </w:r>
          </w:p>
        </w:tc>
        <w:tc>
          <w:tcPr>
            <w:tcW w:type="dxa" w:w="4997"/>
            <w:vAlign w:val="center"/>
            <w:shd w:fill="FBF8F8"/>
          </w:tcPr>
          <w:p>
            <w:pPr>
              <w:spacing w:after="20" w:before="20"/>
            </w:pPr>
            <w:r/>
            <w:r>
              <w:rPr>
                <w:rFonts w:ascii="Aptos" w:hAnsi="Aptos"/>
                <w:b w:val="0"/>
                <w:color w:val="23191A"/>
                <w:sz w:val="16"/>
              </w:rPr>
              <w:t>Seeds AWS DynamoDB sample data; already reported as run successfully.</w:t>
            </w:r>
          </w:p>
        </w:tc>
      </w:tr>
      <w:tr>
        <w:tc>
          <w:tcPr>
            <w:tcW w:type="dxa" w:w="4997"/>
            <w:vAlign w:val="center"/>
          </w:tcPr>
          <w:p>
            <w:pPr>
              <w:spacing w:after="20" w:before="20"/>
            </w:pPr>
            <w:r/>
            <w:r>
              <w:rPr>
                <w:rFonts w:ascii="Aptos" w:hAnsi="Aptos"/>
                <w:b w:val="0"/>
                <w:color w:val="23191A"/>
                <w:sz w:val="16"/>
              </w:rPr>
              <w:t>aws/student-drive-stack.yaml</w:t>
            </w:r>
          </w:p>
        </w:tc>
        <w:tc>
          <w:tcPr>
            <w:tcW w:type="dxa" w:w="4997"/>
            <w:vAlign w:val="center"/>
          </w:tcPr>
          <w:p>
            <w:pPr>
              <w:spacing w:after="20" w:before="20"/>
            </w:pPr>
            <w:r/>
            <w:r>
              <w:rPr>
                <w:rFonts w:ascii="Aptos" w:hAnsi="Aptos"/>
                <w:b w:val="0"/>
                <w:color w:val="23191A"/>
                <w:sz w:val="16"/>
              </w:rPr>
              <w:t>CloudFormation definition for S3, DynamoDB, Cognito, groups, IAM policy, and outputs.</w:t>
            </w:r>
          </w:p>
        </w:tc>
      </w:tr>
      <w:tr>
        <w:tc>
          <w:tcPr>
            <w:tcW w:type="dxa" w:w="4997"/>
            <w:vAlign w:val="center"/>
            <w:shd w:fill="FBF8F8"/>
          </w:tcPr>
          <w:p>
            <w:pPr>
              <w:spacing w:after="20" w:before="20"/>
            </w:pPr>
            <w:r/>
            <w:r>
              <w:rPr>
                <w:rFonts w:ascii="Aptos" w:hAnsi="Aptos"/>
                <w:b w:val="0"/>
                <w:color w:val="23191A"/>
                <w:sz w:val="16"/>
              </w:rPr>
              <w:t>start-aws-demo.cmd</w:t>
            </w:r>
          </w:p>
        </w:tc>
        <w:tc>
          <w:tcPr>
            <w:tcW w:type="dxa" w:w="4997"/>
            <w:vAlign w:val="center"/>
            <w:shd w:fill="FBF8F8"/>
          </w:tcPr>
          <w:p>
            <w:pPr>
              <w:spacing w:after="20" w:before="20"/>
            </w:pPr>
            <w:r/>
            <w:r>
              <w:rPr>
                <w:rFonts w:ascii="Aptos" w:hAnsi="Aptos"/>
                <w:b w:val="0"/>
                <w:color w:val="23191A"/>
                <w:sz w:val="16"/>
              </w:rPr>
              <w:t>Windows launch helper for AWS SSO login and local server startup.</w:t>
            </w:r>
          </w:p>
        </w:tc>
      </w:tr>
      <w:tr>
        <w:tc>
          <w:tcPr>
            <w:tcW w:type="dxa" w:w="4997"/>
            <w:vAlign w:val="center"/>
          </w:tcPr>
          <w:p>
            <w:pPr>
              <w:spacing w:after="20" w:before="20"/>
            </w:pPr>
            <w:r/>
            <w:r>
              <w:rPr>
                <w:rFonts w:ascii="Aptos" w:hAnsi="Aptos"/>
                <w:b w:val="0"/>
                <w:color w:val="23191A"/>
                <w:sz w:val="16"/>
              </w:rPr>
              <w:t>.env</w:t>
            </w:r>
          </w:p>
        </w:tc>
        <w:tc>
          <w:tcPr>
            <w:tcW w:type="dxa" w:w="4997"/>
            <w:vAlign w:val="center"/>
          </w:tcPr>
          <w:p>
            <w:pPr>
              <w:spacing w:after="20" w:before="20"/>
            </w:pPr>
            <w:r/>
            <w:r>
              <w:rPr>
                <w:rFonts w:ascii="Aptos" w:hAnsi="Aptos"/>
                <w:b w:val="0"/>
                <w:color w:val="23191A"/>
                <w:sz w:val="16"/>
              </w:rPr>
              <w:t>Local runtime configuration; ignored by Git and intentionally excluded from this document.</w:t>
            </w:r>
          </w:p>
        </w:tc>
      </w:tr>
      <w:tr>
        <w:tc>
          <w:tcPr>
            <w:tcW w:type="dxa" w:w="4997"/>
            <w:vAlign w:val="center"/>
            <w:shd w:fill="FBF8F8"/>
          </w:tcPr>
          <w:p>
            <w:pPr>
              <w:spacing w:after="20" w:before="20"/>
            </w:pPr>
            <w:r/>
            <w:r>
              <w:rPr>
                <w:rFonts w:ascii="Aptos" w:hAnsi="Aptos"/>
                <w:b w:val="0"/>
                <w:color w:val="23191A"/>
                <w:sz w:val="16"/>
              </w:rPr>
              <w:t>README.md / HANDOFF.md / aws/README.md</w:t>
            </w:r>
          </w:p>
        </w:tc>
        <w:tc>
          <w:tcPr>
            <w:tcW w:type="dxa" w:w="4997"/>
            <w:vAlign w:val="center"/>
            <w:shd w:fill="FBF8F8"/>
          </w:tcPr>
          <w:p>
            <w:pPr>
              <w:spacing w:after="20" w:before="20"/>
            </w:pPr>
            <w:r/>
            <w:r>
              <w:rPr>
                <w:rFonts w:ascii="Aptos" w:hAnsi="Aptos"/>
                <w:b w:val="0"/>
                <w:color w:val="23191A"/>
                <w:sz w:val="16"/>
              </w:rPr>
              <w:t>Project documentation; some statements predate the AWS deployment and should be reconciled.</w:t>
            </w:r>
          </w:p>
        </w:tc>
      </w:tr>
    </w:tbl>
    <w:p>
      <w:pPr>
        <w:spacing w:after="20"/>
      </w:pPr>
    </w:p>
    <w:p>
      <w:pPr>
        <w:pStyle w:val="Heading1"/>
      </w:pPr>
      <w:r>
        <w:t>11  Known discrepancies and boundaries</w:t>
      </w:r>
    </w:p>
    <w:p>
      <w:pPr>
        <w:pStyle w:val="ListBullet"/>
      </w:pPr>
      <w:r>
        <w:t>The README and HANDOFF contain older statements that AWS was not connected and/or the app used port 3000. Current configuration is AWS mode on port 3001, and screenshots show the CloudFormation stack completed. Treat current .env, deployed stack, and current code as authoritative for this workspace.</w:t>
      </w:r>
    </w:p>
    <w:p>
      <w:pPr>
        <w:pStyle w:val="ListBullet"/>
      </w:pPr>
      <w:r>
        <w:t>The CloudFormation stack provisions backend data/identity resources only. The demo website still runs on the user’s computer; it is not publicly hosted and is not an EC2/Lambda/API Gateway deployment.</w:t>
      </w:r>
    </w:p>
    <w:p>
      <w:pPr>
        <w:pStyle w:val="ListBullet"/>
      </w:pPr>
      <w:r>
        <w:t>The older local-mode upload/review screenshots do not prove a file exists in S3. A real upload must be confirmed in the deployed bucket after AWS mode is active.</w:t>
      </w:r>
    </w:p>
    <w:p>
      <w:pPr>
        <w:pStyle w:val="ListBullet"/>
      </w:pPr>
      <w:r>
        <w:t>The new password-reset UI/backend has not been validated yet. A live account’s password state and email delivery must be confirmed by the user in AWS/Gmail.</w:t>
      </w:r>
    </w:p>
    <w:p>
      <w:pPr>
        <w:pStyle w:val="ListBullet"/>
      </w:pPr>
      <w:r>
        <w:t>Sample terms, due dates, rubric values, and staff/student names are demonstration content and may be out of date or fictional.</w:t>
      </w:r>
    </w:p>
    <w:p>
      <w:pPr>
        <w:pStyle w:val="Heading1"/>
      </w:pPr>
      <w:r>
        <w:t>12  Next steps</w:t>
      </w:r>
    </w:p>
    <w:p>
      <w:pPr>
        <w:pStyle w:val="ListNumber"/>
      </w:pPr>
      <w:r>
        <w:t>Restart start-aws-demo.cmd so the new Cognito reset endpoints are loaded, then reset the student password and confirm a Cognito sign-in.</w:t>
      </w:r>
    </w:p>
    <w:p>
      <w:pPr>
        <w:pStyle w:val="ListNumber"/>
      </w:pPr>
      <w:r>
        <w:t>Confirm the student token resolves to the CS-2023-084 DynamoDB profile and the student dashboard loads from AWS-backed API data.</w:t>
      </w:r>
    </w:p>
    <w:p>
      <w:pPr>
        <w:pStyle w:val="ListNumber"/>
      </w:pPr>
      <w:r>
        <w:t>Submit a small supported test file and verify both its S3 object and DynamoDB submission record. Do not rely only on the UI success toast.</w:t>
      </w:r>
    </w:p>
    <w:p>
      <w:pPr>
        <w:pStyle w:val="ListNumber"/>
      </w:pPr>
      <w:r>
        <w:t>Create/verify a Faculty-group Cognito account mapped to FAC-CSE-042, then exercise grading and feedback persistence.</w:t>
      </w:r>
    </w:p>
    <w:p>
      <w:pPr>
        <w:pStyle w:val="ListNumber"/>
      </w:pPr>
      <w:r>
        <w:t>Update README.md, HANDOFF.md, and aws/README.md to remove outdated port and AWS status statements, and record the tested current startup procedure.</w:t>
      </w:r>
    </w:p>
    <w:p>
      <w:pPr>
        <w:pStyle w:val="Heading1"/>
      </w:pPr>
      <w:r>
        <w:t>Continuity note</w:t>
      </w:r>
    </w:p>
    <w:p>
      <w:r>
        <w:t>The project work was continued in Codex after development in Antigravity. The user has already deployed the AWS stack, configured the AWS SSO developer profile, seeded sample data, and provisioned a Cognito student account. The immediate work in progress is getting that Cognito account signed in and then verifying a real AWS upload before the teacher demonstration.</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5585A"/>
        <w:sz w:val="16"/>
      </w:rPr>
      <w:t xml:space="preserve">Student Drive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800020"/>
        <w:sz w:val="16"/>
      </w:rPr>
      <w:t>STUDENT DRIVE  /  PROJECT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19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80002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800020"/>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3191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3191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Drive Project Context</dc:title>
  <dc:subject>Technical handoff, AWS deployment, and demonstration guide</dc:subject>
  <dc:creator>OpenAI</dc:creator>
  <cp:keywords>Student Drive, DYP DPU, AWS, Cognito, DynamoDB, S3</cp:keywords>
  <dc:description>generated by python-docx</dc:description>
  <cp:lastModifiedBy/>
  <cp:revision>1</cp:revision>
  <dcterms:created xsi:type="dcterms:W3CDTF">2013-12-23T23:15:00Z</dcterms:created>
  <dcterms:modified xsi:type="dcterms:W3CDTF">2013-12-23T23:15:00Z</dcterms:modified>
  <cp:category/>
</cp:coreProperties>
</file>