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Quantitative Trading With Machine Learning</w:t>
      </w:r>
    </w:p>
    <w:p>
      <w:pPr>
        <w:jc w:val="center"/>
      </w:pPr>
      <w:r>
        <w:rPr>
          <w:i/>
          <w:sz w:val="20"/>
        </w:rPr>
        <w:t>Machine Learning Mini-Project — VWAGY Return Prediction and Trading</w:t>
      </w:r>
    </w:p>
    <w:p>
      <w:pPr>
        <w:spacing w:before="100" w:after="40"/>
      </w:pPr>
      <w:r>
        <w:rPr>
          <w:b/>
          <w:sz w:val="22"/>
        </w:rPr>
        <w:t>1. Problem Statement</w:t>
      </w:r>
    </w:p>
    <w:p>
      <w:pPr>
        <w:spacing w:after="60" w:line="240" w:lineRule="auto"/>
      </w:pPr>
      <w:r>
        <w:t>The objective of this project is to investigate whether machine learning can be used to predict short-term returns of Volkswagen AG (VWAGY) and convert those predictions into a quantitative trading strategy. The project follows the core idea of the Stanford CS229 quantitative-trading problem, while using a scaled-down implementation based on publicly available market data. In addition to VWAGY's own market information, the enhanced model uses selected publicly traded supply-chain proxy companies to capture information that may be related to Volkswagen's future performance.</w:t>
      </w:r>
    </w:p>
    <w:p>
      <w:pPr>
        <w:spacing w:before="100" w:after="40"/>
      </w:pPr>
      <w:r>
        <w:rPr>
          <w:b/>
          <w:sz w:val="22"/>
        </w:rPr>
        <w:t>2. Dataset and Feature Engineering</w:t>
      </w:r>
    </w:p>
    <w:p>
      <w:pPr>
        <w:spacing w:after="60" w:line="240" w:lineRule="auto"/>
      </w:pPr>
      <w:r>
        <w:t>The notebook uses historical daily market data for VWAGY and nine publicly traded supply-chain proxy companies. The enhanced dataset covers 27 March 2015 to 1 December 2025 after feature/target alignment and missing-value handling. For each supply-chain proxy, the notebook constructs 28 lagged daily-return features, producing 252 supply-chain features. Twelve additional VWAGY-specific features are included, giving 264 features in total.</w:t>
      </w:r>
    </w:p>
    <w:p>
      <w:pPr>
        <w:spacing w:after="60" w:line="240" w:lineRule="auto"/>
      </w:pPr>
      <w:r>
        <w:t>The VWAGY features include 1-, 5-, 10- and 20-day returns, moving-average ratios, 5- and 20-day volatility, 60-day return, and 20- and 60-day momentum. The prediction targets represent future VWAGY returns over 1, 5, 10, 15 and 20 trading days.</w:t>
      </w:r>
    </w:p>
    <w:p>
      <w:pPr>
        <w:spacing w:before="100" w:after="40"/>
      </w:pPr>
      <w:r>
        <w:rPr>
          <w:b/>
          <w:sz w:val="22"/>
        </w:rPr>
        <w:t>3. Machine Learning Approach</w:t>
      </w:r>
    </w:p>
    <w:p>
      <w:pPr>
        <w:spacing w:after="60" w:line="240" w:lineRule="auto"/>
      </w:pPr>
      <w:r>
        <w:t>Four regression models were evaluated: Elastic Net, Decision Tree, XGBoost and LightGBM. The data is divided chronologically into training, validation and final test periods to avoid random shuffling of time-series observations. The enhanced dataset contains 1,655 training samples, 552 validation samples and 552 final-test samples.</w:t>
      </w:r>
    </w:p>
    <w:p>
      <w:pPr>
        <w:spacing w:after="60" w:line="240" w:lineRule="auto"/>
      </w:pPr>
      <w:r>
        <w:t>For the enhanced experiment, model performance was evaluated at all five forecast horizons. Elastic Net achieved the best validation result for the 1-day horizon, with RMSE 0.024832, MAE 0.018036 and R² −0.041086. The final configuration was therefore Elastic Net with a 1-day forecast horizon. The final model was retrained using the combined training and validation data before being evaluated once on the unseen test period.</w:t>
      </w:r>
    </w:p>
    <w:p>
      <w:pPr>
        <w:spacing w:before="100" w:after="40"/>
      </w:pPr>
      <w:r>
        <w:rPr>
          <w:b/>
          <w:sz w:val="22"/>
        </w:rPr>
        <w:t>4. Baseline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Model</w:t>
            </w:r>
          </w:p>
        </w:tc>
        <w:tc>
          <w:tcPr>
            <w:tcW w:type="dxa" w:w="2592"/>
          </w:tcPr>
          <w:p>
            <w:r>
              <w:t>RMSE</w:t>
            </w:r>
          </w:p>
        </w:tc>
        <w:tc>
          <w:tcPr>
            <w:tcW w:type="dxa" w:w="2592"/>
          </w:tcPr>
          <w:p>
            <w:r>
              <w:t>MAE</w:t>
            </w:r>
          </w:p>
        </w:tc>
        <w:tc>
          <w:tcPr>
            <w:tcW w:type="dxa" w:w="2592"/>
          </w:tcPr>
          <w:p>
            <w:r>
              <w:t>R²</w:t>
            </w:r>
          </w:p>
        </w:tc>
      </w:tr>
      <w:tr>
        <w:tc>
          <w:tcPr>
            <w:tcW w:type="dxa" w:w="2592"/>
            <w:vAlign w:val="center"/>
          </w:tcPr>
          <w:p>
            <w:r>
              <w:t>Elastic Net</w:t>
            </w:r>
          </w:p>
        </w:tc>
        <w:tc>
          <w:tcPr>
            <w:tcW w:type="dxa" w:w="2592"/>
            <w:vAlign w:val="center"/>
          </w:tcPr>
          <w:p>
            <w:r>
              <w:t>0.017868</w:t>
            </w:r>
          </w:p>
        </w:tc>
        <w:tc>
          <w:tcPr>
            <w:tcW w:type="dxa" w:w="2592"/>
            <w:vAlign w:val="center"/>
          </w:tcPr>
          <w:p>
            <w:r>
              <w:t>0.013656</w:t>
            </w:r>
          </w:p>
        </w:tc>
        <w:tc>
          <w:tcPr>
            <w:tcW w:type="dxa" w:w="2592"/>
            <w:vAlign w:val="center"/>
          </w:tcPr>
          <w:p>
            <w:r>
              <w:t>−0.001706</w:t>
            </w:r>
          </w:p>
        </w:tc>
      </w:tr>
      <w:tr>
        <w:tc>
          <w:tcPr>
            <w:tcW w:type="dxa" w:w="2592"/>
            <w:vAlign w:val="center"/>
          </w:tcPr>
          <w:p>
            <w:r>
              <w:t>XGBoost</w:t>
            </w:r>
          </w:p>
        </w:tc>
        <w:tc>
          <w:tcPr>
            <w:tcW w:type="dxa" w:w="2592"/>
            <w:vAlign w:val="center"/>
          </w:tcPr>
          <w:p>
            <w:r>
              <w:t>0.018113</w:t>
            </w:r>
          </w:p>
        </w:tc>
        <w:tc>
          <w:tcPr>
            <w:tcW w:type="dxa" w:w="2592"/>
            <w:vAlign w:val="center"/>
          </w:tcPr>
          <w:p>
            <w:r>
              <w:t>0.013812</w:t>
            </w:r>
          </w:p>
        </w:tc>
        <w:tc>
          <w:tcPr>
            <w:tcW w:type="dxa" w:w="2592"/>
            <w:vAlign w:val="center"/>
          </w:tcPr>
          <w:p>
            <w:r>
              <w:t>−0.029333</w:t>
            </w:r>
          </w:p>
        </w:tc>
      </w:tr>
      <w:tr>
        <w:tc>
          <w:tcPr>
            <w:tcW w:type="dxa" w:w="2592"/>
            <w:vAlign w:val="center"/>
          </w:tcPr>
          <w:p>
            <w:r>
              <w:t>Decision Tree</w:t>
            </w:r>
          </w:p>
        </w:tc>
        <w:tc>
          <w:tcPr>
            <w:tcW w:type="dxa" w:w="2592"/>
            <w:vAlign w:val="center"/>
          </w:tcPr>
          <w:p>
            <w:r>
              <w:t>0.018167</w:t>
            </w:r>
          </w:p>
        </w:tc>
        <w:tc>
          <w:tcPr>
            <w:tcW w:type="dxa" w:w="2592"/>
            <w:vAlign w:val="center"/>
          </w:tcPr>
          <w:p>
            <w:r>
              <w:t>0.013821</w:t>
            </w:r>
          </w:p>
        </w:tc>
        <w:tc>
          <w:tcPr>
            <w:tcW w:type="dxa" w:w="2592"/>
            <w:vAlign w:val="center"/>
          </w:tcPr>
          <w:p>
            <w:r>
              <w:t>−0.035461</w:t>
            </w:r>
          </w:p>
        </w:tc>
      </w:tr>
      <w:tr>
        <w:tc>
          <w:tcPr>
            <w:tcW w:type="dxa" w:w="2592"/>
            <w:vAlign w:val="center"/>
          </w:tcPr>
          <w:p>
            <w:r>
              <w:t>LightGBM</w:t>
            </w:r>
          </w:p>
        </w:tc>
        <w:tc>
          <w:tcPr>
            <w:tcW w:type="dxa" w:w="2592"/>
            <w:vAlign w:val="center"/>
          </w:tcPr>
          <w:p>
            <w:r>
              <w:t>0.018224</w:t>
            </w:r>
          </w:p>
        </w:tc>
        <w:tc>
          <w:tcPr>
            <w:tcW w:type="dxa" w:w="2592"/>
            <w:vAlign w:val="center"/>
          </w:tcPr>
          <w:p>
            <w:r>
              <w:t>0.013968</w:t>
            </w:r>
          </w:p>
        </w:tc>
        <w:tc>
          <w:tcPr>
            <w:tcW w:type="dxa" w:w="2592"/>
            <w:vAlign w:val="center"/>
          </w:tcPr>
          <w:p>
            <w:r>
              <w:t>−0.041989</w:t>
            </w:r>
          </w:p>
        </w:tc>
      </w:tr>
    </w:tbl>
    <w:p>
      <w:pPr>
        <w:spacing w:before="100" w:after="40"/>
      </w:pPr>
      <w:r>
        <w:rPr>
          <w:b/>
          <w:sz w:val="22"/>
        </w:rPr>
        <w:t>5. Final Out-of-Sample Model Performance</w:t>
      </w:r>
    </w:p>
    <w:p>
      <w:pPr>
        <w:spacing w:after="60" w:line="240" w:lineRule="auto"/>
      </w:pPr>
      <w:r>
        <w:t>On the unseen final test period (12 October 2023 to 1 December 2025), the selected Elastic Net model achieved RMSE 0.017954, MAE 0.013506 and R² −0.013369. These results indicate that the model has limited explanatory power for next-day VWAGY returns. The negative, near-zero R² also shows that the model does not explain a substantial proportion of return variation.</w:t>
      </w:r>
    </w:p>
    <w:p>
      <w:pPr>
        <w:spacing w:before="100" w:after="40"/>
      </w:pPr>
      <w:r>
        <w:rPr>
          <w:b/>
          <w:sz w:val="22"/>
        </w:rPr>
        <w:t>6. Trading Strategy and Benchmark</w:t>
      </w:r>
    </w:p>
    <w:p>
      <w:pPr>
        <w:spacing w:after="60" w:line="240" w:lineRule="auto"/>
      </w:pPr>
      <w:r>
        <w:t>Predicted returns are converted into three possible positions: long (+1), short (−1), or neutral (0). The trading threshold is selected using validation data only. The selected threshold is 0.0025 (0.25%), and a 0.10% transaction cost is included. On the final out-of-sample period, the strategy takes long positions on 95 days, short positions on 95 days and remains neutral on 362 days.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Metric</w:t>
            </w:r>
          </w:p>
        </w:tc>
        <w:tc>
          <w:tcPr>
            <w:tcW w:type="dxa" w:w="3456"/>
          </w:tcPr>
          <w:p>
            <w:r>
              <w:t>ML Strategy</w:t>
            </w:r>
          </w:p>
        </w:tc>
        <w:tc>
          <w:tcPr>
            <w:tcW w:type="dxa" w:w="3456"/>
          </w:tcPr>
          <w:p>
            <w:r>
              <w:t>VWAGY Buy &amp; Hold</w:t>
            </w:r>
          </w:p>
        </w:tc>
      </w:tr>
      <w:tr>
        <w:tc>
          <w:tcPr>
            <w:tcW w:type="dxa" w:w="3456"/>
          </w:tcPr>
          <w:p>
            <w:r>
              <w:t>Total Return</w:t>
            </w:r>
          </w:p>
        </w:tc>
        <w:tc>
          <w:tcPr>
            <w:tcW w:type="dxa" w:w="3456"/>
          </w:tcPr>
          <w:p>
            <w:r>
              <w:t>−19.66%</w:t>
            </w:r>
          </w:p>
        </w:tc>
        <w:tc>
          <w:tcPr>
            <w:tcW w:type="dxa" w:w="3456"/>
          </w:tcPr>
          <w:p>
            <w:r>
              <w:t>+1.84%</w:t>
            </w:r>
          </w:p>
        </w:tc>
      </w:tr>
      <w:tr>
        <w:tc>
          <w:tcPr>
            <w:tcW w:type="dxa" w:w="3456"/>
          </w:tcPr>
          <w:p>
            <w:r>
              <w:t>Annualized Return</w:t>
            </w:r>
          </w:p>
        </w:tc>
        <w:tc>
          <w:tcPr>
            <w:tcW w:type="dxa" w:w="3456"/>
          </w:tcPr>
          <w:p>
            <w:r>
              <w:t>−9.51%</w:t>
            </w:r>
          </w:p>
        </w:tc>
        <w:tc>
          <w:tcPr>
            <w:tcW w:type="dxa" w:w="3456"/>
          </w:tcPr>
          <w:p>
            <w:r>
              <w:t>+0.84%</w:t>
            </w:r>
          </w:p>
        </w:tc>
      </w:tr>
      <w:tr>
        <w:tc>
          <w:tcPr>
            <w:tcW w:type="dxa" w:w="3456"/>
          </w:tcPr>
          <w:p>
            <w:r>
              <w:t>Annualized Volatility</w:t>
            </w:r>
          </w:p>
        </w:tc>
        <w:tc>
          <w:tcPr>
            <w:tcW w:type="dxa" w:w="3456"/>
          </w:tcPr>
          <w:p>
            <w:r>
              <w:t>15.94%</w:t>
            </w:r>
          </w:p>
        </w:tc>
        <w:tc>
          <w:tcPr>
            <w:tcW w:type="dxa" w:w="3456"/>
          </w:tcPr>
          <w:p>
            <w:r>
              <w:t>28.31%</w:t>
            </w:r>
          </w:p>
        </w:tc>
      </w:tr>
      <w:tr>
        <w:tc>
          <w:tcPr>
            <w:tcW w:type="dxa" w:w="3456"/>
          </w:tcPr>
          <w:p>
            <w:r>
              <w:t>Sharpe Ratio</w:t>
            </w:r>
          </w:p>
        </w:tc>
        <w:tc>
          <w:tcPr>
            <w:tcW w:type="dxa" w:w="3456"/>
          </w:tcPr>
          <w:p>
            <w:r>
              <w:t>−0.597</w:t>
            </w:r>
          </w:p>
        </w:tc>
        <w:tc>
          <w:tcPr>
            <w:tcW w:type="dxa" w:w="3456"/>
          </w:tcPr>
          <w:p>
            <w:r>
              <w:t>0.030</w:t>
            </w:r>
          </w:p>
        </w:tc>
      </w:tr>
      <w:tr>
        <w:tc>
          <w:tcPr>
            <w:tcW w:type="dxa" w:w="3456"/>
          </w:tcPr>
          <w:p>
            <w:r>
              <w:t>Maximum Drawdown</w:t>
            </w:r>
          </w:p>
        </w:tc>
        <w:tc>
          <w:tcPr>
            <w:tcW w:type="dxa" w:w="3456"/>
          </w:tcPr>
          <w:p>
            <w:r>
              <w:t>−24.19%</w:t>
            </w:r>
          </w:p>
        </w:tc>
        <w:tc>
          <w:tcPr>
            <w:tcW w:type="dxa" w:w="3456"/>
          </w:tcPr>
          <w:p>
            <w:r>
              <w:t>−42.86%</w:t>
            </w:r>
          </w:p>
        </w:tc>
      </w:tr>
      <w:tr>
        <w:tc>
          <w:tcPr>
            <w:tcW w:type="dxa" w:w="3456"/>
          </w:tcPr>
          <w:p>
            <w:r>
              <w:t>Win Rate</w:t>
            </w:r>
          </w:p>
        </w:tc>
        <w:tc>
          <w:tcPr>
            <w:tcW w:type="dxa" w:w="3456"/>
          </w:tcPr>
          <w:p>
            <w:r>
              <w:t>17.57%</w:t>
            </w:r>
          </w:p>
        </w:tc>
        <w:tc>
          <w:tcPr>
            <w:tcW w:type="dxa" w:w="3456"/>
          </w:tcPr>
          <w:p>
            <w:r>
              <w:t>46.74%</w:t>
            </w:r>
          </w:p>
        </w:tc>
      </w:tr>
    </w:tbl>
    <w:p>
      <w:pPr>
        <w:spacing w:before="100" w:after="40"/>
      </w:pPr>
      <w:r>
        <w:rPr>
          <w:b/>
          <w:sz w:val="22"/>
        </w:rPr>
        <w:t>7. Conclusion</w:t>
      </w:r>
    </w:p>
    <w:p>
      <w:pPr>
        <w:spacing w:after="60" w:line="240" w:lineRule="auto"/>
      </w:pPr>
      <w:r>
        <w:t>The project successfully implements an end-to-end machine-learning quantitative trading pipeline, covering financial-data preparation, feature engineering, chronological model validation, multi-horizon comparison, out-of-sample prediction and trading backtesting. Elastic Net was the strongest model in the tested baseline and enhanced experiments.</w:t>
      </w:r>
    </w:p>
    <w:p>
      <w:pPr>
        <w:spacing w:after="60" w:line="240" w:lineRule="auto"/>
      </w:pPr>
      <w:r>
        <w:t>However, the final ML strategy did not outperform the VWAGY Buy &amp; Hold benchmark. It generated a −19.66% total return compared with +1.84% for Buy &amp; Hold and produced a negative Sharpe ratio. The strategy did have lower annualized volatility and a smaller maximum drawdown than Buy &amp; Hold, but these risk reductions were not sufficient to compensate for the loss in return.</w:t>
      </w:r>
    </w:p>
    <w:p>
      <w:pPr>
        <w:spacing w:after="60" w:line="240" w:lineRule="auto"/>
      </w:pPr>
      <w:r>
        <w:t>The result demonstrates an important practical finding: adding supply-chain proxy information does not automatically produce profitable predictive signals. The project should therefore be interpreted as an empirical evaluation of the proposed methodology, rather than as evidence of a consistently profitable trading system. A key limitation is that the implementation uses selected publicly traded supply-chain proxies and does not include proprietary macroeconomic variables from the reference methodology.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Quantitative Trading With Machine Learning | ML Mini-Project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