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4e78" w:val="clear"/>
        <w:spacing w:after="40" w:lineRule="auto"/>
        <w:rPr/>
      </w:pPr>
      <w:r w:rsidDel="00000000" w:rsidR="00000000" w:rsidRPr="00000000">
        <w:rPr>
          <w:rFonts w:ascii="Arial" w:cs="Arial" w:eastAsia="Arial" w:hAnsi="Arial"/>
          <w:b w:val="1"/>
          <w:bCs w:val="1"/>
          <w:color w:val="ffffff"/>
          <w:sz w:val="40"/>
          <w:szCs w:val="40"/>
          <w:rtl w:val="0"/>
        </w:rPr>
        <w:t xml:space="preserve">  Kartify Retail</w:t>
      </w:r>
      <w:r w:rsidDel="00000000" w:rsidR="00000000" w:rsidRPr="00000000">
        <w:rPr>
          <w:rtl w:val="0"/>
        </w:rPr>
      </w:r>
    </w:p>
    <w:p w:rsidR="00000000" w:rsidDel="00000000" w:rsidP="00000000" w:rsidRDefault="00000000" w:rsidRPr="00000000" w14:paraId="00000002">
      <w:pPr>
        <w:shd w:fill="1f4e78" w:val="clear"/>
        <w:spacing w:after="40" w:lineRule="auto"/>
        <w:rPr/>
      </w:pPr>
      <w:r w:rsidDel="00000000" w:rsidR="00000000" w:rsidRPr="00000000">
        <w:rPr>
          <w:rFonts w:ascii="Arial" w:cs="Arial" w:eastAsia="Arial" w:hAnsi="Arial"/>
          <w:b w:val="1"/>
          <w:bCs w:val="1"/>
          <w:color w:val="ffffff"/>
          <w:sz w:val="26"/>
          <w:szCs w:val="26"/>
          <w:rtl w:val="0"/>
        </w:rPr>
        <w:t xml:space="preserve">  Context of the Organization — ISMS Clause 4</w:t>
      </w:r>
      <w:r w:rsidDel="00000000" w:rsidR="00000000" w:rsidRPr="00000000">
        <w:rPr>
          <w:rtl w:val="0"/>
        </w:rPr>
      </w:r>
    </w:p>
    <w:p w:rsidR="00000000" w:rsidDel="00000000" w:rsidP="00000000" w:rsidRDefault="00000000" w:rsidRPr="00000000" w14:paraId="00000003">
      <w:pPr>
        <w:shd w:fill="1f4e78" w:val="clear"/>
        <w:spacing w:after="30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Arial" w:cs="Arial" w:eastAsia="Arial" w:hAnsi="Arial"/>
          <w:i w:val="1"/>
          <w:iCs w:val="1"/>
          <w:color w:val="404040"/>
          <w:sz w:val="18"/>
          <w:szCs w:val="18"/>
          <w:rtl w:val="0"/>
        </w:rPr>
        <w:t xml:space="preserve">Framework Basis: ISO/IEC 27001:2022 Clause 4 (Context of the Organization) — Sub-clauses 4.1–4.4. Clauses 1–3 (Scope, Normative References, Terms &amp; Definitions) are non-normative; this document opens the normative ISMS requirements and precedes the Asset Register (Project 1) and Risk Register (Project 2).</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Arial" w:cs="Arial" w:eastAsia="Arial" w:hAnsi="Arial"/>
          <w:i w:val="1"/>
          <w:iCs w:val="1"/>
          <w:color w:val="404040"/>
          <w:sz w:val="18"/>
          <w:szCs w:val="18"/>
          <w:rtl w:val="0"/>
        </w:rPr>
        <w:t xml:space="preserve">Document Owner: CISO / Head of GRC   |   Version: 1.0   |   Classification: Internal – Confidential   |   Review Cycle: Annual or upon material change   |   Scope: India DPDP Act 2023 + PCI DSS v4.0</w:t>
      </w:r>
      <w:r w:rsidDel="00000000" w:rsidR="00000000" w:rsidRPr="00000000">
        <w:rPr>
          <w:rtl w:val="0"/>
        </w:rPr>
      </w:r>
    </w:p>
    <w:p w:rsidR="00000000" w:rsidDel="00000000" w:rsidP="00000000" w:rsidRDefault="00000000" w:rsidRPr="00000000" w14:paraId="00000006">
      <w:pPr>
        <w:pStyle w:val="Heading1"/>
        <w:pBdr>
          <w:bottom w:color="2e75b6" w:space="4" w:sz="6" w:val="single"/>
        </w:pBdr>
        <w:spacing w:after="160" w:before="320" w:lineRule="auto"/>
        <w:rPr/>
      </w:pPr>
      <w:r w:rsidDel="00000000" w:rsidR="00000000" w:rsidRPr="00000000">
        <w:rPr>
          <w:rFonts w:ascii="Arial" w:cs="Arial" w:eastAsia="Arial" w:hAnsi="Arial"/>
          <w:b w:val="1"/>
          <w:bCs w:val="1"/>
          <w:color w:val="1f4e78"/>
          <w:sz w:val="28"/>
          <w:szCs w:val="28"/>
          <w:rtl w:val="0"/>
        </w:rPr>
        <w:t xml:space="preserve">4. Context of the Organization</w:t>
      </w:r>
      <w:r w:rsidDel="00000000" w:rsidR="00000000" w:rsidRPr="00000000">
        <w:rPr>
          <w:rtl w:val="0"/>
        </w:rPr>
      </w:r>
    </w:p>
    <w:p w:rsidR="00000000" w:rsidDel="00000000" w:rsidP="00000000" w:rsidRDefault="00000000" w:rsidRPr="00000000" w14:paraId="00000007">
      <w:pPr>
        <w:spacing w:after="160" w:line="276" w:lineRule="auto"/>
        <w:rPr/>
      </w:pPr>
      <w:r w:rsidDel="00000000" w:rsidR="00000000" w:rsidRPr="00000000">
        <w:rPr>
          <w:rFonts w:ascii="Arial" w:cs="Arial" w:eastAsia="Arial" w:hAnsi="Arial"/>
          <w:sz w:val="21"/>
          <w:szCs w:val="21"/>
          <w:rtl w:val="0"/>
        </w:rPr>
        <w:t xml:space="preserve">This clause requires Kartify Retail to identify the internal and external factors relevant to its purpose, and that affect its ability to achieve the intended outcomes of its Information Security Management System (ISMS).</w:t>
      </w: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4.1  Understanding the Organization and Its Context</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Arial" w:cs="Arial" w:eastAsia="Arial" w:hAnsi="Arial"/>
          <w:sz w:val="21"/>
          <w:szCs w:val="21"/>
          <w:rtl w:val="0"/>
        </w:rPr>
        <w:t xml:space="preserve">Kartify Retail must determine internal and external issues relevant to its purpose and that affect its ability to achieve the intended outcome(s) of the ISMS.</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Arial" w:cs="Arial" w:eastAsia="Arial" w:hAnsi="Arial"/>
          <w:b w:val="1"/>
          <w:bCs w:val="1"/>
          <w:sz w:val="21"/>
          <w:szCs w:val="21"/>
          <w:rtl w:val="0"/>
        </w:rPr>
        <w:t xml:space="preserve">Internal Factors: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Business model: online retail marketplace connecting third-party sellers and customers, plus in-house/partner logistics and last-mile delivery.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Organization size: approximately 150–250 employees across Engineering, Product, Operations, Logistics, Finance and Support.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Technology stack: cloud-native architecture hosted entirely on AWS (EC2, RDS, S3), with a payment gateway integration and an order-management/logistics-tracking system.</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Governance structure: CEO, CISO/Head of InfoSec, Data Protection Officer, Head of Infrastructure, GRC/Compliance Manager, Internal Audit Lead.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Organizational culture: growth-stage e-commerce company balancing rapid feature delivery with emerging compliance maturity.</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Arial" w:cs="Arial" w:eastAsia="Arial" w:hAnsi="Arial"/>
          <w:b w:val="1"/>
          <w:bCs w:val="1"/>
          <w:sz w:val="21"/>
          <w:szCs w:val="21"/>
          <w:rtl w:val="0"/>
        </w:rPr>
        <w:t xml:space="preserve">External Factors: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Regulatory: India's Digital Personal Data Protection (DPDP) Act 2023 (data fiduciary obligations); PCI DSS v4.0 (cardholder data environment, given in-house payment processing).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Market/competitive: fast-moving e-commerce sector with low switching cost for customers and sellers, making trust and data protection a competitive factor.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Technological: dependency on cloud infrastructure (AWS), third-party payment gateways, and SMS/email notification providers, each introducing supply-chain risk.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Social/customer expectation: rising customer sensitivity to data breaches and payment fraud in Indian e-commerce.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Logistics/supply chain: reliance on third-party courier and last-mile delivery partners who handle customer PII outside Kartify's direct infrastructure.</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4.2  Understanding the Needs and Expectations of Interested Parties</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Arial" w:cs="Arial" w:eastAsia="Arial" w:hAnsi="Arial"/>
          <w:sz w:val="21"/>
          <w:szCs w:val="21"/>
          <w:rtl w:val="0"/>
        </w:rPr>
        <w:t xml:space="preserve">Kartify Retail must determine the interested parties relevant to the ISMS and the requirements of these interested parties relevant to information security — i.e., who is interested in information security and what they require.</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3400"/>
        <w:tblGridChange w:id="0">
          <w:tblGrid>
            <w:gridCol w:w="2400"/>
            <w:gridCol w:w="4200"/>
            <w:gridCol w:w="3400"/>
          </w:tblGrid>
        </w:tblGridChange>
      </w:tblGrid>
      <w:tr>
        <w:trPr>
          <w:cantSplit w:val="0"/>
          <w:tblHeader w:val="1"/>
        </w:trPr>
        <w:tc>
          <w:tcPr>
            <w:shd w:fill="2e75b6"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9"/>
                <w:szCs w:val="19"/>
                <w:rtl w:val="0"/>
              </w:rPr>
              <w:t xml:space="preserve">Interested Party</w:t>
            </w:r>
            <w:r w:rsidDel="00000000" w:rsidR="00000000" w:rsidRPr="00000000">
              <w:rPr>
                <w:rtl w:val="0"/>
              </w:rPr>
            </w:r>
          </w:p>
        </w:tc>
        <w:tc>
          <w:tcPr>
            <w:shd w:fill="2e75b6"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9"/>
                <w:szCs w:val="19"/>
                <w:rtl w:val="0"/>
              </w:rPr>
              <w:t xml:space="preserve">Needs &amp; Expectations</w:t>
            </w:r>
            <w:r w:rsidDel="00000000" w:rsidR="00000000" w:rsidRPr="00000000">
              <w:rPr>
                <w:rtl w:val="0"/>
              </w:rPr>
            </w:r>
          </w:p>
        </w:tc>
        <w:tc>
          <w:tcPr>
            <w:shd w:fill="2e75b6"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9"/>
                <w:szCs w:val="19"/>
                <w:rtl w:val="0"/>
              </w:rPr>
              <w:t xml:space="preserve">Relevant IS Requirement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9"/>
                <w:szCs w:val="19"/>
                <w:rtl w:val="0"/>
              </w:rPr>
              <w:t xml:space="preserve">Customers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19"/>
                <w:szCs w:val="19"/>
                <w:rtl w:val="0"/>
              </w:rPr>
              <w:t xml:space="preserve">Protection of personal data, secure payments, reliable order fulfillment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19"/>
                <w:szCs w:val="19"/>
                <w:rtl w:val="0"/>
              </w:rPr>
              <w:t xml:space="preserve">Confidentiality of PII &amp; cardholder data; DPDP Act compliance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9"/>
                <w:szCs w:val="19"/>
                <w:rtl w:val="0"/>
              </w:rPr>
              <w:t xml:space="preserve">Sellers / Vendors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19"/>
                <w:szCs w:val="19"/>
                <w:rtl w:val="0"/>
              </w:rPr>
              <w:t xml:space="preserve">Protection of KYC, bank/payout data; platform availability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19"/>
                <w:szCs w:val="19"/>
                <w:rtl w:val="0"/>
              </w:rPr>
              <w:t xml:space="preserve">Access control on onboarding portal; data integrity of payout records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9"/>
                <w:szCs w:val="19"/>
                <w:rtl w:val="0"/>
              </w:rPr>
              <w:t xml:space="preserve">Employees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19"/>
                <w:szCs w:val="19"/>
                <w:rtl w:val="0"/>
              </w:rPr>
              <w:t xml:space="preserve">Secure handling of HR/payroll data; clear security responsibilities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19"/>
                <w:szCs w:val="19"/>
                <w:rtl w:val="0"/>
              </w:rPr>
              <w:t xml:space="preserve">Internal policy, awareness training, role-based access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19"/>
                <w:szCs w:val="19"/>
                <w:rtl w:val="0"/>
              </w:rPr>
              <w:t xml:space="preserve">Senior Management / Board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9"/>
                <w:szCs w:val="19"/>
                <w:rtl w:val="0"/>
              </w:rPr>
              <w:t xml:space="preserve">Risk visibility, regulatory compliance, business continuity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9"/>
                <w:szCs w:val="19"/>
                <w:rtl w:val="0"/>
              </w:rPr>
              <w:t xml:space="preserve">ISMS governance, risk reporting, incident escalation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9"/>
                <w:szCs w:val="19"/>
                <w:rtl w:val="0"/>
              </w:rPr>
              <w:t xml:space="preserve">Data Protection Board / Regulators (DPDP Act)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9"/>
                <w:szCs w:val="19"/>
                <w:rtl w:val="0"/>
              </w:rPr>
              <w:t xml:space="preserve">Lawful processing, breach notification, data subject rights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19"/>
                <w:szCs w:val="19"/>
                <w:rtl w:val="0"/>
              </w:rPr>
              <w:t xml:space="preserve">Consent management, breach response, data retention limits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9"/>
                <w:szCs w:val="19"/>
                <w:rtl w:val="0"/>
              </w:rPr>
              <w:t xml:space="preserve">PCI Security Standards Council / Card Networks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9"/>
                <w:szCs w:val="19"/>
                <w:rtl w:val="0"/>
              </w:rPr>
              <w:t xml:space="preserve">Secure handling of cardholder data per PCI DSS v4.0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9"/>
                <w:szCs w:val="19"/>
                <w:rtl w:val="0"/>
              </w:rPr>
              <w:t xml:space="preserve">Cardholder Data Environment (CDE) segmentation, encryption, logging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9"/>
                <w:szCs w:val="19"/>
                <w:rtl w:val="0"/>
              </w:rPr>
              <w:t xml:space="preserve">AWS (Cloud Hosting Provider)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9"/>
                <w:szCs w:val="19"/>
                <w:rtl w:val="0"/>
              </w:rPr>
              <w:t xml:space="preserve">Shared-responsibility compliance, acceptable use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9"/>
                <w:szCs w:val="19"/>
                <w:rtl w:val="0"/>
              </w:rPr>
              <w:t xml:space="preserve">Secure configuration of cloud resources (customer side of shared responsibility)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9"/>
                <w:szCs w:val="19"/>
                <w:rtl w:val="0"/>
              </w:rPr>
              <w:t xml:space="preserve">Payment Gateway Provider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9"/>
                <w:szCs w:val="19"/>
                <w:rtl w:val="0"/>
              </w:rPr>
              <w:t xml:space="preserve">Secure integration, fraud controls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9"/>
                <w:szCs w:val="19"/>
                <w:rtl w:val="0"/>
              </w:rPr>
              <w:t xml:space="preserve">Tokenization, secure API integration, incident coordination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9"/>
                <w:szCs w:val="19"/>
                <w:rtl w:val="0"/>
              </w:rPr>
              <w:t xml:space="preserve">Logistics / Courier Partners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9"/>
                <w:szCs w:val="19"/>
                <w:rtl w:val="0"/>
              </w:rPr>
              <w:t xml:space="preserve">Accurate, secure exchange of delivery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9"/>
                <w:szCs w:val="19"/>
                <w:rtl w:val="0"/>
              </w:rPr>
              <w:t xml:space="preserve">Data-sharing agreements, minimum-necessary data transfer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9"/>
                <w:szCs w:val="19"/>
                <w:rtl w:val="0"/>
              </w:rPr>
              <w:t xml:space="preserve">Employees' families / Investors (indirect)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9"/>
                <w:szCs w:val="19"/>
                <w:rtl w:val="0"/>
              </w:rPr>
              <w:t xml:space="preserve">Organizational stability and reputation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9"/>
                <w:szCs w:val="19"/>
                <w:rtl w:val="0"/>
              </w:rPr>
              <w:t xml:space="preserve">Business continuity, reputational risk management</w:t>
            </w:r>
            <w:r w:rsidDel="00000000" w:rsidR="00000000" w:rsidRPr="00000000">
              <w:rPr>
                <w:rtl w:val="0"/>
              </w:rPr>
            </w:r>
          </w:p>
        </w:tc>
      </w:tr>
    </w:tbl>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4.3  Determining the Scope of the Information Security Management System</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Arial" w:cs="Arial" w:eastAsia="Arial" w:hAnsi="Arial"/>
          <w:sz w:val="21"/>
          <w:szCs w:val="21"/>
          <w:rtl w:val="0"/>
        </w:rPr>
        <w:t xml:space="preserve">Kartify Retail must determine the boundaries and applicability of the ISMS to establish its scope, considering the internal/external issues (4.1), the requirements of interested parties (4.2), and interfaces/dependencies with other organizations.</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Arial" w:cs="Arial" w:eastAsia="Arial" w:hAnsi="Arial"/>
          <w:b w:val="1"/>
          <w:bCs w:val="1"/>
          <w:sz w:val="21"/>
          <w:szCs w:val="21"/>
          <w:rtl w:val="0"/>
        </w:rPr>
        <w:t xml:space="preserve">ISMS Scope Statement (Draft):</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Arial" w:cs="Arial" w:eastAsia="Arial" w:hAnsi="Arial"/>
          <w:sz w:val="21"/>
          <w:szCs w:val="21"/>
          <w:rtl w:val="0"/>
        </w:rPr>
        <w:t xml:space="preserve">The ISMS covers all people, processes and technology involved in the operation of the Kartify Retail online marketplace and logistics platform, including the design, development, hosting and support of the e-commerce application, order management and logistics tracking system, payment gateway integration, and the underlying AWS cloud infrastructure, as well as the personal data of customers and sellers processed through these systems.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Arial" w:cs="Arial" w:eastAsia="Arial" w:hAnsi="Arial"/>
          <w:b w:val="1"/>
          <w:bCs w:val="1"/>
          <w:sz w:val="21"/>
          <w:szCs w:val="21"/>
          <w:rtl w:val="0"/>
        </w:rPr>
        <w:t xml:space="preserve">In Scope: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E-Commerce Marketplace Platform (SW-01), Payment Gateway Integration Module (SW-02), Order Management &amp; Logistics Tracking System (SW-03), Seller Onboarding Portal (SW-04)</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AWS production cloud environment (compute, storage, database) and associated network/perimeter controls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Customer PII, cardholder/payment transaction data, order &amp; delivery data, seller KYC/bank data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Engineering, Product, Infrastructure, Payments, Logistics and Customer Support functions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Registered office location(s) in Pune, Maharashtra</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Arial" w:cs="Arial" w:eastAsia="Arial" w:hAnsi="Arial"/>
          <w:b w:val="1"/>
          <w:bCs w:val="1"/>
          <w:sz w:val="21"/>
          <w:szCs w:val="21"/>
          <w:rtl w:val="0"/>
        </w:rPr>
        <w:t xml:space="preserve">Out of Scope / Excluded (with justification):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General corporate HR/payroll systems not integrated with customer-facing production systems (lower risk; managed under a separate internal HR policy)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Internal systems of third-party logistics/courier partners and the payment gateway provider (governed by vendor contracts and due-diligence, not directly by Kartify's ISMS)</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Arial" w:cs="Arial" w:eastAsia="Arial" w:hAnsi="Arial"/>
          <w:sz w:val="21"/>
          <w:szCs w:val="21"/>
          <w:rtl w:val="0"/>
        </w:rPr>
        <w:t xml:space="preserve">Note: This scope statement is a working draft for the practice exercise and should be formally approved by top management before being issued as a controlled ISMS Scope document, per Clause 4.3.</w:t>
      </w: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4.4  Information Security Management System (ISMS)</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Arial" w:cs="Arial" w:eastAsia="Arial" w:hAnsi="Arial"/>
          <w:sz w:val="21"/>
          <w:szCs w:val="21"/>
          <w:rtl w:val="0"/>
        </w:rPr>
        <w:t xml:space="preserve">Kartify Retail shall establish, implement, maintain and continually improve an ISMS, including the processes needed and their interactions, in accordance with the requirements of ISO/IEC 27001:2022. This ISMS is the umbrella under which the Asset Register (Project 1), Risk Register (Project 2), and subsequent Statement of Applicability / control mapping (Project 3) and internal audits are developed and maintained.</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pPr>
    <w:r w:rsidDel="00000000" w:rsidR="00000000" w:rsidRPr="00000000">
      <w:rPr>
        <w:rFonts w:ascii="Arial" w:cs="Arial" w:eastAsia="Arial" w:hAnsi="Arial"/>
        <w:color w:val="404040"/>
        <w:sz w:val="15"/>
        <w:szCs w:val="15"/>
        <w:rtl w:val="0"/>
      </w:rPr>
      <w:t xml:space="preserve">Page </w:t>
    </w:r>
    <w:r w:rsidDel="00000000" w:rsidR="00000000" w:rsidRPr="00000000">
      <w:rPr>
        <w:rFonts w:ascii="Arial" w:cs="Arial" w:eastAsia="Arial" w:hAnsi="Arial"/>
        <w:color w:val="404040"/>
        <w:sz w:val="15"/>
        <w:szCs w:val="15"/>
      </w:rPr>
      <w:fldChar w:fldCharType="begin"/>
      <w:instrText xml:space="preserve">PAGE</w:instrText>
      <w:fldChar w:fldCharType="separate"/>
      <w:fldChar w:fldCharType="end"/>
    </w:r>
    <w:r w:rsidDel="00000000" w:rsidR="00000000" w:rsidRPr="00000000">
      <w:rPr>
        <w:rFonts w:ascii="Arial" w:cs="Arial" w:eastAsia="Arial" w:hAnsi="Arial"/>
        <w:color w:val="404040"/>
        <w:sz w:val="15"/>
        <w:szCs w:val="15"/>
        <w:rtl w:val="0"/>
      </w:rPr>
      <w:t xml:space="preserve"> of </w:t>
    </w:r>
    <w:r w:rsidDel="00000000" w:rsidR="00000000" w:rsidRPr="00000000">
      <w:rPr>
        <w:rFonts w:ascii="Arial" w:cs="Arial" w:eastAsia="Arial" w:hAnsi="Arial"/>
        <w:color w:val="404040"/>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rFonts w:ascii="Arial" w:cs="Arial" w:eastAsia="Arial" w:hAnsi="Arial"/>
        <w:i w:val="1"/>
        <w:iCs w:val="1"/>
        <w:color w:val="404040"/>
        <w:sz w:val="15"/>
        <w:szCs w:val="15"/>
        <w:rtl w:val="0"/>
      </w:rPr>
      <w:t xml:space="preserve">Kartify Retail — ISMS Context Document | Internal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