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jc w:val="center"/>
      </w:pPr>
      <w:r>
        <w:rPr>
          <w:rFonts w:ascii="Calibri" w:cs="Calibri" w:eastAsia="Calibri" w:hAnsi="Calibri"/>
          <w:b/>
          <w:bCs/>
          <w:color w:val="2E4057"/>
          <w:sz w:val="64"/>
          <w:szCs w:val="64"/>
        </w:rPr>
        <w:t xml:space="preserve">Kumbh Monitor</w:t>
      </w:r>
    </w:p>
    <w:p>
      <w:pPr>
        <w:spacing w:after="60" w:before="60"/>
        <w:jc w:val="center"/>
      </w:pPr>
      <w:r>
        <w:rPr>
          <w:rFonts w:ascii="Calibri" w:cs="Calibri" w:eastAsia="Calibri" w:hAnsi="Calibri"/>
          <w:color w:val="C8553D"/>
          <w:sz w:val="32"/>
          <w:szCs w:val="32"/>
        </w:rPr>
        <w:t xml:space="preserve">Taxonomy Reference — Version 1.0</w:t>
      </w:r>
    </w:p>
    <w:p>
      <w:pPr>
        <w:spacing w:after="60" w:before="60"/>
        <w:jc w:val="center"/>
      </w:pPr>
      <w:r>
        <w:rPr>
          <w:rFonts w:ascii="Calibri" w:cs="Calibri" w:eastAsia="Calibri" w:hAnsi="Calibri"/>
          <w:i/>
          <w:iCs/>
          <w:color w:val="6C757D"/>
          <w:sz w:val="24"/>
          <w:szCs w:val="24"/>
        </w:rPr>
        <w:t xml:space="preserve">The 7-Axis Classification System for the Kumbh Mela Archive</w:t>
      </w:r>
    </w:p>
    <w:p>
      <w:pPr>
        <w:spacing w:after="60" w:before="1200"/>
        <w:jc w:val="center"/>
      </w:pPr>
      <w:r>
        <w:rPr>
          <w:rFonts w:ascii="Calibri" w:cs="Calibri" w:eastAsia="Calibri" w:hAnsi="Calibri"/>
          <w:b/>
          <w:bCs/>
          <w:color w:val="2E4057"/>
          <w:sz w:val="24"/>
          <w:szCs w:val="24"/>
        </w:rPr>
        <w:t xml:space="preserve">Document scope</w:t>
      </w:r>
    </w:p>
    <w:p>
      <w:pPr>
        <w:spacing w:after="40" w:before="40"/>
        <w:jc w:val="center"/>
      </w:pPr>
      <w:r>
        <w:rPr>
          <w:rFonts w:ascii="Calibri" w:cs="Calibri" w:eastAsia="Calibri" w:hAnsi="Calibri"/>
          <w:sz w:val="22"/>
          <w:szCs w:val="22"/>
        </w:rPr>
        <w:t xml:space="preserve">Complete walkthrough of every classification axis, with worked examples,</w:t>
      </w:r>
    </w:p>
    <w:p>
      <w:pPr>
        <w:spacing w:after="40" w:before="40"/>
        <w:jc w:val="center"/>
      </w:pPr>
      <w:r>
        <w:rPr>
          <w:rFonts w:ascii="Calibri" w:cs="Calibri" w:eastAsia="Calibri" w:hAnsi="Calibri"/>
          <w:sz w:val="22"/>
          <w:szCs w:val="22"/>
        </w:rPr>
        <w:t xml:space="preserve">extensibility guidance, and a map from taxonomy to dashboard.</w:t>
      </w:r>
    </w:p>
    <w:p>
      <w:pPr>
        <w:spacing w:after="60" w:before="800"/>
        <w:jc w:val="center"/>
      </w:pPr>
      <w:r>
        <w:rPr>
          <w:rFonts w:ascii="Calibri" w:cs="Calibri" w:eastAsia="Calibri" w:hAnsi="Calibri"/>
          <w:b/>
          <w:bCs/>
          <w:color w:val="C8553D"/>
          <w:sz w:val="22"/>
          <w:szCs w:val="22"/>
        </w:rPr>
        <w:t xml:space="preserve">Status: DRAFT for team review</w:t>
      </w:r>
    </w:p>
    <w:p>
      <w:pPr>
        <w:spacing w:after="40" w:before="40"/>
        <w:jc w:val="center"/>
      </w:pPr>
      <w:r>
        <w:rPr>
          <w:rFonts w:ascii="Calibri" w:cs="Calibri" w:eastAsia="Calibri" w:hAnsi="Calibri"/>
          <w:i/>
          <w:iCs/>
          <w:color w:val="6C757D"/>
          <w:sz w:val="20"/>
          <w:szCs w:val="20"/>
        </w:rPr>
        <w:t xml:space="preserve">Once locked, changes require version bump and re-classification of affected content.</w:t>
      </w:r>
    </w:p>
    <w:p>
      <w:r>
        <w:br w:type="page"/>
      </w:r>
    </w:p>
    <w:p>
      <w:pPr>
        <w:pStyle w:val="Heading1"/>
        <w:spacing w:after="180" w:before="360"/>
      </w:pPr>
      <w:r>
        <w:rPr>
          <w:rFonts w:ascii="Calibri" w:cs="Calibri" w:eastAsia="Calibri" w:hAnsi="Calibri"/>
          <w:b/>
          <w:bCs/>
          <w:color w:val="2E4057"/>
          <w:sz w:val="36"/>
          <w:szCs w:val="36"/>
        </w:rPr>
        <w:t xml:space="preserve">Contents</w:t>
      </w:r>
    </w:p>
    <w:p>
      <w:pPr>
        <w:spacing w:after="80" w:before="80"/>
      </w:pPr>
      <w:r>
        <w:rPr>
          <w:rFonts w:ascii="Calibri" w:cs="Calibri" w:eastAsia="Calibri" w:hAnsi="Calibri"/>
          <w:sz w:val="22"/>
          <w:szCs w:val="22"/>
        </w:rPr>
        <w:t xml:space="preserve">1. Introduction — Why a taxonomy comes before everything else</w:t>
      </w:r>
    </w:p>
    <w:p>
      <w:pPr>
        <w:spacing w:after="80" w:before="80"/>
      </w:pPr>
      <w:r>
        <w:rPr>
          <w:rFonts w:ascii="Calibri" w:cs="Calibri" w:eastAsia="Calibri" w:hAnsi="Calibri"/>
          <w:sz w:val="22"/>
          <w:szCs w:val="22"/>
        </w:rPr>
        <w:t xml:space="preserve">2. The 7 axes at a glance</w:t>
      </w:r>
    </w:p>
    <w:p>
      <w:pPr>
        <w:spacing w:after="80" w:before="80"/>
      </w:pPr>
      <w:r>
        <w:rPr>
          <w:rFonts w:ascii="Calibri" w:cs="Calibri" w:eastAsia="Calibri" w:hAnsi="Calibri"/>
          <w:sz w:val="22"/>
          <w:szCs w:val="22"/>
        </w:rPr>
        <w:t xml:space="preserve">3. Axis 1 — Theme (28 themes in 11 clusters)</w:t>
      </w:r>
    </w:p>
    <w:p>
      <w:pPr>
        <w:spacing w:after="80" w:before="80"/>
      </w:pPr>
      <w:r>
        <w:rPr>
          <w:rFonts w:ascii="Calibri" w:cs="Calibri" w:eastAsia="Calibri" w:hAnsi="Calibri"/>
          <w:sz w:val="22"/>
          <w:szCs w:val="22"/>
        </w:rPr>
        <w:t xml:space="preserve">4. Axis 2 — Event Type (12 mutually exclusive types)</w:t>
      </w:r>
    </w:p>
    <w:p>
      <w:pPr>
        <w:spacing w:after="80" w:before="80"/>
      </w:pPr>
      <w:r>
        <w:rPr>
          <w:rFonts w:ascii="Calibri" w:cs="Calibri" w:eastAsia="Calibri" w:hAnsi="Calibri"/>
          <w:sz w:val="22"/>
          <w:szCs w:val="22"/>
        </w:rPr>
        <w:t xml:space="preserve">5. Axis 3 — Stakeholder (13 perspectives)</w:t>
      </w:r>
    </w:p>
    <w:p>
      <w:pPr>
        <w:spacing w:after="80" w:before="80"/>
      </w:pPr>
      <w:r>
        <w:rPr>
          <w:rFonts w:ascii="Calibri" w:cs="Calibri" w:eastAsia="Calibri" w:hAnsi="Calibri"/>
          <w:sz w:val="22"/>
          <w:szCs w:val="22"/>
        </w:rPr>
        <w:t xml:space="preserve">6. Axis 4 — Geography (editions and places)</w:t>
      </w:r>
    </w:p>
    <w:p>
      <w:pPr>
        <w:spacing w:after="80" w:before="80"/>
      </w:pPr>
      <w:r>
        <w:rPr>
          <w:rFonts w:ascii="Calibri" w:cs="Calibri" w:eastAsia="Calibri" w:hAnsi="Calibri"/>
          <w:sz w:val="22"/>
          <w:szCs w:val="22"/>
        </w:rPr>
        <w:t xml:space="preserve">7. Axis 5 — Temporal Phase (7 phases of the Kumbh cycle)</w:t>
      </w:r>
    </w:p>
    <w:p>
      <w:pPr>
        <w:spacing w:after="80" w:before="80"/>
      </w:pPr>
      <w:r>
        <w:rPr>
          <w:rFonts w:ascii="Calibri" w:cs="Calibri" w:eastAsia="Calibri" w:hAnsi="Calibri"/>
          <w:sz w:val="22"/>
          <w:szCs w:val="22"/>
        </w:rPr>
        <w:t xml:space="preserve">8. Axis 6 — Information Quality (the misinfo spine)</w:t>
      </w:r>
    </w:p>
    <w:p>
      <w:pPr>
        <w:spacing w:after="80" w:before="80"/>
      </w:pPr>
      <w:r>
        <w:rPr>
          <w:rFonts w:ascii="Calibri" w:cs="Calibri" w:eastAsia="Calibri" w:hAnsi="Calibri"/>
          <w:sz w:val="22"/>
          <w:szCs w:val="22"/>
        </w:rPr>
        <w:t xml:space="preserve">9. Axis 7 — Outcome Dimension (what is affected)</w:t>
      </w:r>
    </w:p>
    <w:p>
      <w:pPr>
        <w:spacing w:after="80" w:before="80"/>
      </w:pPr>
      <w:r>
        <w:rPr>
          <w:rFonts w:ascii="Calibri" w:cs="Calibri" w:eastAsia="Calibri" w:hAnsi="Calibri"/>
          <w:sz w:val="22"/>
          <w:szCs w:val="22"/>
        </w:rPr>
        <w:t xml:space="preserve">10. A worked example across all 7 axes</w:t>
      </w:r>
    </w:p>
    <w:p>
      <w:pPr>
        <w:spacing w:after="80" w:before="80"/>
      </w:pPr>
      <w:r>
        <w:rPr>
          <w:rFonts w:ascii="Calibri" w:cs="Calibri" w:eastAsia="Calibri" w:hAnsi="Calibri"/>
          <w:sz w:val="22"/>
          <w:szCs w:val="22"/>
        </w:rPr>
        <w:t xml:space="preserve">11. How the taxonomy powers the dashboard</w:t>
      </w:r>
    </w:p>
    <w:p>
      <w:pPr>
        <w:spacing w:after="80" w:before="80"/>
      </w:pPr>
      <w:r>
        <w:rPr>
          <w:rFonts w:ascii="Calibri" w:cs="Calibri" w:eastAsia="Calibri" w:hAnsi="Calibri"/>
          <w:sz w:val="22"/>
          <w:szCs w:val="22"/>
        </w:rPr>
        <w:t xml:space="preserve">12. How to extend the taxonomy in the future</w:t>
      </w:r>
    </w:p>
    <w:p>
      <w:pPr>
        <w:spacing w:after="80" w:before="80"/>
      </w:pPr>
      <w:r>
        <w:rPr>
          <w:rFonts w:ascii="Calibri" w:cs="Calibri" w:eastAsia="Calibri" w:hAnsi="Calibri"/>
          <w:sz w:val="22"/>
          <w:szCs w:val="22"/>
        </w:rPr>
        <w:t xml:space="preserve">13. Governance — versioning, disputes, and review</w:t>
      </w:r>
    </w:p>
    <w:p>
      <w:r>
        <w:br w:type="page"/>
      </w:r>
    </w:p>
    <w:p>
      <w:pPr>
        <w:pStyle w:val="Heading1"/>
        <w:spacing w:after="180" w:before="360"/>
      </w:pPr>
      <w:r>
        <w:rPr>
          <w:rFonts w:ascii="Calibri" w:cs="Calibri" w:eastAsia="Calibri" w:hAnsi="Calibri"/>
          <w:b/>
          <w:bCs/>
          <w:color w:val="2E4057"/>
          <w:sz w:val="36"/>
          <w:szCs w:val="36"/>
        </w:rPr>
        <w:t xml:space="preserve">1. Introduction — Why a taxonomy comes before everything else</w:t>
      </w:r>
    </w:p>
    <w:p>
      <w:pPr>
        <w:spacing w:after="60" w:before="60" w:line="320"/>
      </w:pPr>
      <w:r>
        <w:rPr>
          <w:rFonts w:ascii="Calibri" w:cs="Calibri" w:eastAsia="Calibri" w:hAnsi="Calibri"/>
          <w:sz w:val="22"/>
          <w:szCs w:val="22"/>
        </w:rPr>
        <w:t xml:space="preserve">Kumbh Monitor is a public memory infrastructure for the Kumbh Mela. It serves four audiences at once: researchers writing about how the event evolves; product builders working on Kumbh 2027; citizens and journalists trying to separate real news from rumor; and government administrators planning operations. Each audience wants a different lens on the same underlying facts.</w:t>
      </w:r>
    </w:p>
    <w:p>
      <w:pPr>
        <w:spacing w:after="60" w:before="60" w:line="320"/>
      </w:pPr>
      <w:r>
        <w:rPr>
          <w:rFonts w:ascii="Calibri" w:cs="Calibri" w:eastAsia="Calibri" w:hAnsi="Calibri"/>
          <w:sz w:val="22"/>
          <w:szCs w:val="22"/>
        </w:rPr>
        <w:t xml:space="preserve">The taxonomy is what makes those four lenses possible from one shared dataset. Without it, the archive is a search box. With it, the archive becomes a structured field in which precise research queries return precise answers — queries that no general-purpose news aggregator can ever answer.</w:t>
      </w:r>
    </w:p>
    <w:p>
      <w:pPr>
        <w:spacing w:after="60" w:before="60" w:line="320"/>
      </w:pPr>
      <w:r>
        <w:rPr>
          <w:rFonts w:ascii="Calibri" w:cs="Calibri" w:eastAsia="Calibri" w:hAnsi="Calibri"/>
          <w:sz w:val="22"/>
          <w:szCs w:val="22"/>
        </w:rPr>
        <w:t xml:space="preserve">This document defines the taxonomy in full. It is the load-bearing artifact of the project. Anywhere in the system — the scrapers, the classifier, the database schema, the dashboard filters, the public API — there is a reference back to this document. When the team disagrees about how to tag a piece of content, this document settles it. When the document is silent, the team updates the document rather than deciding the case privately.</w:t>
      </w:r>
    </w:p>
    <w:p>
      <w:pPr>
        <w:pStyle w:val="Heading3"/>
        <w:spacing w:after="110" w:before="220"/>
      </w:pPr>
      <w:r>
        <w:rPr>
          <w:rFonts w:ascii="Calibri" w:cs="Calibri" w:eastAsia="Calibri" w:hAnsi="Calibri"/>
          <w:b/>
          <w:bCs/>
          <w:color w:val="C8553D"/>
          <w:sz w:val="26"/>
          <w:szCs w:val="26"/>
        </w:rPr>
        <w:t xml:space="preserve">The one principle that makes the taxonomy work</w:t>
      </w:r>
    </w:p>
    <w:p>
      <w:pPr>
        <w:pBdr>
          <w:left w:val="single" w:color="C8553D" w:sz="18" w:space="8"/>
        </w:pBdr>
        <w:spacing w:after="140" w:before="140" w:line="320"/>
        <w:ind w:left="360"/>
      </w:pPr>
      <w:r>
        <w:rPr>
          <w:rFonts w:ascii="Calibri" w:cs="Calibri" w:eastAsia="Calibri" w:hAnsi="Calibri"/>
          <w:i/>
          <w:iCs/>
          <w:color w:val="2E4057"/>
          <w:sz w:val="22"/>
          <w:szCs w:val="22"/>
        </w:rPr>
        <w:t xml:space="preserve">Nothing about the taxonomy is hard-coded. Every category, axis, tag, and definition lives in the database. The classifier, the database schema, and the user interface all read from those tables. Adding a new tag requires a row insert and a document update — never a code change.</w:t>
      </w:r>
    </w:p>
    <w:p>
      <w:pPr>
        <w:spacing w:after="60" w:before="60" w:line="320"/>
      </w:pPr>
      <w:r>
        <w:rPr>
          <w:rFonts w:ascii="Calibri" w:cs="Calibri" w:eastAsia="Calibri" w:hAnsi="Calibri"/>
          <w:sz w:val="22"/>
          <w:szCs w:val="22"/>
        </w:rPr>
        <w:t xml:space="preserve">This principle is what makes the taxonomy genuinely extensible. Many projects promise flexibility and then end up with categories hard-coded into fifty different files. By keeping the taxonomy in data, the project stays open to growth for years.</w:t>
      </w:r>
    </w:p>
    <w:p>
      <w:pPr>
        <w:pStyle w:val="Heading3"/>
        <w:spacing w:after="110" w:before="220"/>
      </w:pPr>
      <w:r>
        <w:rPr>
          <w:rFonts w:ascii="Calibri" w:cs="Calibri" w:eastAsia="Calibri" w:hAnsi="Calibri"/>
          <w:b/>
          <w:bCs/>
          <w:color w:val="C8553D"/>
          <w:sz w:val="26"/>
          <w:szCs w:val="26"/>
        </w:rPr>
        <w:t xml:space="preserve">Reading this document</w:t>
      </w:r>
    </w:p>
    <w:p>
      <w:pPr>
        <w:spacing w:after="60" w:before="60" w:line="320"/>
      </w:pPr>
      <w:r>
        <w:rPr>
          <w:rFonts w:ascii="Calibri" w:cs="Calibri" w:eastAsia="Calibri" w:hAnsi="Calibri"/>
          <w:sz w:val="22"/>
          <w:szCs w:val="22"/>
        </w:rPr>
        <w:t xml:space="preserve">Each of the 7 axes has its own section. Each section answers the same five questions:</w:t>
      </w:r>
    </w:p>
    <w:p>
      <w:pPr>
        <w:pStyle w:val="ListParagraph"/>
        <w:numPr>
          <w:ilvl w:val="0"/>
          <w:numId w:val="2"/>
        </w:numPr>
        <w:spacing w:after="40" w:before="40" w:line="300"/>
      </w:pPr>
      <w:r>
        <w:rPr>
          <w:rFonts w:ascii="Calibri" w:cs="Calibri" w:eastAsia="Calibri" w:hAnsi="Calibri"/>
          <w:sz w:val="22"/>
          <w:szCs w:val="22"/>
        </w:rPr>
        <w:t xml:space="preserve">What does this axis answer about a piece of content?</w:t>
      </w:r>
    </w:p>
    <w:p>
      <w:pPr>
        <w:pStyle w:val="ListParagraph"/>
        <w:numPr>
          <w:ilvl w:val="0"/>
          <w:numId w:val="2"/>
        </w:numPr>
        <w:spacing w:after="40" w:before="40" w:line="300"/>
      </w:pPr>
      <w:r>
        <w:rPr>
          <w:rFonts w:ascii="Calibri" w:cs="Calibri" w:eastAsia="Calibri" w:hAnsi="Calibri"/>
          <w:sz w:val="22"/>
          <w:szCs w:val="22"/>
        </w:rPr>
        <w:t xml:space="preserve">How does it work mechanically — how many tags per item, mutually exclusive or not?</w:t>
      </w:r>
    </w:p>
    <w:p>
      <w:pPr>
        <w:pStyle w:val="ListParagraph"/>
        <w:numPr>
          <w:ilvl w:val="0"/>
          <w:numId w:val="2"/>
        </w:numPr>
        <w:spacing w:after="40" w:before="40" w:line="300"/>
      </w:pPr>
      <w:r>
        <w:rPr>
          <w:rFonts w:ascii="Calibri" w:cs="Calibri" w:eastAsia="Calibri" w:hAnsi="Calibri"/>
          <w:sz w:val="22"/>
          <w:szCs w:val="22"/>
        </w:rPr>
        <w:t xml:space="preserve">Why does this axis matter — what research questions does it enable?</w:t>
      </w:r>
    </w:p>
    <w:p>
      <w:pPr>
        <w:pStyle w:val="ListParagraph"/>
        <w:numPr>
          <w:ilvl w:val="0"/>
          <w:numId w:val="2"/>
        </w:numPr>
        <w:spacing w:after="40" w:before="40" w:line="300"/>
      </w:pPr>
      <w:r>
        <w:rPr>
          <w:rFonts w:ascii="Calibri" w:cs="Calibri" w:eastAsia="Calibri" w:hAnsi="Calibri"/>
          <w:sz w:val="22"/>
          <w:szCs w:val="22"/>
        </w:rPr>
        <w:t xml:space="preserve">What are the tags, with crisp definitions?</w:t>
      </w:r>
    </w:p>
    <w:p>
      <w:pPr>
        <w:pStyle w:val="ListParagraph"/>
        <w:numPr>
          <w:ilvl w:val="0"/>
          <w:numId w:val="2"/>
        </w:numPr>
        <w:spacing w:after="40" w:before="40" w:line="300"/>
      </w:pPr>
      <w:r>
        <w:rPr>
          <w:rFonts w:ascii="Calibri" w:cs="Calibri" w:eastAsia="Calibri" w:hAnsi="Calibri"/>
          <w:sz w:val="22"/>
          <w:szCs w:val="22"/>
        </w:rPr>
        <w:t xml:space="preserve">How do the tags apply to real example articles?</w:t>
      </w:r>
    </w:p>
    <w:p>
      <w:pPr>
        <w:spacing w:after="60" w:before="60" w:line="320"/>
      </w:pPr>
      <w:r>
        <w:rPr>
          <w:rFonts w:ascii="Calibri" w:cs="Calibri" w:eastAsia="Calibri" w:hAnsi="Calibri"/>
          <w:sz w:val="22"/>
          <w:szCs w:val="22"/>
        </w:rPr>
        <w:t xml:space="preserve">After the seven axis sections, a comprehensive worked example walks one article through all seven axes simultaneously. A separate section then maps the taxonomy to dashboard features, so you can see exactly how a tag like “theme.river_health” turns into a filter, a map pin, a chart axis, or a misinfo flag in the live product.</w:t>
      </w:r>
    </w:p>
    <w:p>
      <w:r>
        <w:br w:type="page"/>
      </w:r>
    </w:p>
    <w:p>
      <w:pPr>
        <w:pStyle w:val="Heading1"/>
        <w:spacing w:after="180" w:before="360"/>
      </w:pPr>
      <w:r>
        <w:rPr>
          <w:rFonts w:ascii="Calibri" w:cs="Calibri" w:eastAsia="Calibri" w:hAnsi="Calibri"/>
          <w:b/>
          <w:bCs/>
          <w:color w:val="2E4057"/>
          <w:sz w:val="36"/>
          <w:szCs w:val="36"/>
        </w:rPr>
        <w:t xml:space="preserve">2. The 7 axes at a glance</w:t>
      </w:r>
    </w:p>
    <w:p>
      <w:pPr>
        <w:spacing w:after="60" w:before="60" w:line="320"/>
      </w:pPr>
      <w:r>
        <w:rPr>
          <w:rFonts w:ascii="Calibri" w:cs="Calibri" w:eastAsia="Calibri" w:hAnsi="Calibri"/>
          <w:sz w:val="22"/>
          <w:szCs w:val="22"/>
        </w:rPr>
        <w:t xml:space="preserve">Every piece of content in the archive is tagged across seven independent axes. Each axis answers a different question. A single content item is classified along all seven simultaneously — a typical article gets between 10 and 20 tags in 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000"/>
        <w:gridCol w:w="3200"/>
        <w:gridCol w:w="2860"/>
      </w:tblGrid>
      <w:tr>
        <w:trPr>
          <w:tblHeader/>
        </w:trPr>
        <w:tc>
          <w:tcPr>
            <w:tcW w:type="dxa" w:w="1300"/>
            <w:tcBorders>
              <w:top w:val="single" w:color="D1D5DB" w:sz="4"/>
              <w:left w:val="single" w:color="D1D5DB" w:sz="4"/>
              <w:bottom w:val="single" w:color="D1D5DB" w:sz="4"/>
              <w:right w:val="single" w:color="D1D5DB" w:sz="4"/>
            </w:tcBorders>
            <w:shd w:fill="2E4057" w:val="clear"/>
            <w:tcMar>
              <w:top w:type="dxa" w:w="120"/>
              <w:left w:type="dxa" w:w="140"/>
              <w:bottom w:type="dxa" w:w="120"/>
              <w:right w:type="dxa" w:w="140"/>
            </w:tcMar>
            <w:vAlign w:val="center"/>
          </w:tcPr>
          <w:p>
            <w:pPr>
              <w:spacing w:after="0" w:before="0"/>
            </w:pPr>
            <w:r>
              <w:rPr>
                <w:rFonts w:ascii="Calibri" w:cs="Calibri" w:eastAsia="Calibri" w:hAnsi="Calibri"/>
                <w:b/>
                <w:bCs/>
                <w:color w:val="FFFFFF"/>
                <w:sz w:val="22"/>
                <w:szCs w:val="22"/>
              </w:rPr>
              <w:t xml:space="preserve">#</w:t>
            </w:r>
          </w:p>
        </w:tc>
        <w:tc>
          <w:tcPr>
            <w:tcW w:type="dxa" w:w="2000"/>
            <w:tcBorders>
              <w:top w:val="single" w:color="D1D5DB" w:sz="4"/>
              <w:left w:val="single" w:color="D1D5DB" w:sz="4"/>
              <w:bottom w:val="single" w:color="D1D5DB" w:sz="4"/>
              <w:right w:val="single" w:color="D1D5DB" w:sz="4"/>
            </w:tcBorders>
            <w:shd w:fill="2E4057" w:val="clear"/>
            <w:tcMar>
              <w:top w:type="dxa" w:w="120"/>
              <w:left w:type="dxa" w:w="140"/>
              <w:bottom w:type="dxa" w:w="120"/>
              <w:right w:type="dxa" w:w="140"/>
            </w:tcMar>
            <w:vAlign w:val="center"/>
          </w:tcPr>
          <w:p>
            <w:pPr>
              <w:spacing w:after="0" w:before="0"/>
            </w:pPr>
            <w:r>
              <w:rPr>
                <w:rFonts w:ascii="Calibri" w:cs="Calibri" w:eastAsia="Calibri" w:hAnsi="Calibri"/>
                <w:b/>
                <w:bCs/>
                <w:color w:val="FFFFFF"/>
                <w:sz w:val="22"/>
                <w:szCs w:val="22"/>
              </w:rPr>
              <w:t xml:space="preserve">Axis</w:t>
            </w:r>
          </w:p>
        </w:tc>
        <w:tc>
          <w:tcPr>
            <w:tcW w:type="dxa" w:w="3200"/>
            <w:tcBorders>
              <w:top w:val="single" w:color="D1D5DB" w:sz="4"/>
              <w:left w:val="single" w:color="D1D5DB" w:sz="4"/>
              <w:bottom w:val="single" w:color="D1D5DB" w:sz="4"/>
              <w:right w:val="single" w:color="D1D5DB" w:sz="4"/>
            </w:tcBorders>
            <w:shd w:fill="2E4057" w:val="clear"/>
            <w:tcMar>
              <w:top w:type="dxa" w:w="120"/>
              <w:left w:type="dxa" w:w="140"/>
              <w:bottom w:type="dxa" w:w="120"/>
              <w:right w:type="dxa" w:w="140"/>
            </w:tcMar>
            <w:vAlign w:val="center"/>
          </w:tcPr>
          <w:p>
            <w:pPr>
              <w:spacing w:after="0" w:before="0"/>
            </w:pPr>
            <w:r>
              <w:rPr>
                <w:rFonts w:ascii="Calibri" w:cs="Calibri" w:eastAsia="Calibri" w:hAnsi="Calibri"/>
                <w:b/>
                <w:bCs/>
                <w:color w:val="FFFFFF"/>
                <w:sz w:val="22"/>
                <w:szCs w:val="22"/>
              </w:rPr>
              <w:t xml:space="preserve">Answers</w:t>
            </w:r>
          </w:p>
        </w:tc>
        <w:tc>
          <w:tcPr>
            <w:tcW w:type="dxa" w:w="2860"/>
            <w:tcBorders>
              <w:top w:val="single" w:color="D1D5DB" w:sz="4"/>
              <w:left w:val="single" w:color="D1D5DB" w:sz="4"/>
              <w:bottom w:val="single" w:color="D1D5DB" w:sz="4"/>
              <w:right w:val="single" w:color="D1D5DB" w:sz="4"/>
            </w:tcBorders>
            <w:shd w:fill="2E4057" w:val="clear"/>
            <w:tcMar>
              <w:top w:type="dxa" w:w="120"/>
              <w:left w:type="dxa" w:w="140"/>
              <w:bottom w:type="dxa" w:w="120"/>
              <w:right w:type="dxa" w:w="140"/>
            </w:tcMar>
            <w:vAlign w:val="center"/>
          </w:tcPr>
          <w:p>
            <w:pPr>
              <w:spacing w:after="0" w:before="0"/>
            </w:pPr>
            <w:r>
              <w:rPr>
                <w:rFonts w:ascii="Calibri" w:cs="Calibri" w:eastAsia="Calibri" w:hAnsi="Calibri"/>
                <w:b/>
                <w:bCs/>
                <w:color w:val="FFFFFF"/>
                <w:sz w:val="22"/>
                <w:szCs w:val="22"/>
              </w:rPr>
              <w:t xml:space="preserve">Tags per item</w:t>
            </w:r>
          </w:p>
        </w:tc>
      </w:tr>
      <w:tr>
        <w:tc>
          <w:tcPr>
            <w:tcW w:type="dxa" w:w="13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bCs/>
                <w:color w:val="000000"/>
                <w:sz w:val="22"/>
                <w:szCs w:val="22"/>
              </w:rPr>
              <w:t xml:space="preserve">1</w:t>
            </w:r>
          </w:p>
        </w:tc>
        <w:tc>
          <w:tcPr>
            <w:tcW w:type="dxa" w:w="2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bCs/>
                <w:color w:val="000000"/>
                <w:sz w:val="22"/>
                <w:szCs w:val="22"/>
              </w:rPr>
              <w:t xml:space="preserve">Theme</w:t>
            </w:r>
          </w:p>
        </w:tc>
        <w:tc>
          <w:tcPr>
            <w:tcW w:type="dxa" w:w="32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val="false"/>
                <w:bCs w:val="false"/>
                <w:color w:val="000000"/>
                <w:sz w:val="22"/>
                <w:szCs w:val="22"/>
              </w:rPr>
              <w:t xml:space="preserve">What is this content about?</w:t>
            </w:r>
          </w:p>
        </w:tc>
        <w:tc>
          <w:tcPr>
            <w:tcW w:type="dxa" w:w="28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val="false"/>
                <w:bCs w:val="false"/>
                <w:color w:val="000000"/>
                <w:sz w:val="22"/>
                <w:szCs w:val="22"/>
              </w:rPr>
              <w:t xml:space="preserve">Multiple (typically 2–4)</w:t>
            </w:r>
          </w:p>
        </w:tc>
      </w:tr>
      <w:tr>
        <w:tc>
          <w:tcPr>
            <w:tcW w:type="dxa" w:w="13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bCs/>
                <w:color w:val="000000"/>
                <w:sz w:val="22"/>
                <w:szCs w:val="22"/>
              </w:rPr>
              <w:t xml:space="preserve">2</w:t>
            </w:r>
          </w:p>
        </w:tc>
        <w:tc>
          <w:tcPr>
            <w:tcW w:type="dxa" w:w="2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bCs/>
                <w:color w:val="000000"/>
                <w:sz w:val="22"/>
                <w:szCs w:val="22"/>
              </w:rPr>
              <w:t xml:space="preserve">Event Type</w:t>
            </w:r>
          </w:p>
        </w:tc>
        <w:tc>
          <w:tcPr>
            <w:tcW w:type="dxa" w:w="32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val="false"/>
                <w:bCs w:val="false"/>
                <w:color w:val="000000"/>
                <w:sz w:val="22"/>
                <w:szCs w:val="22"/>
              </w:rPr>
              <w:t xml:space="preserve">What kind of statement is this?</w:t>
            </w:r>
          </w:p>
        </w:tc>
        <w:tc>
          <w:tcPr>
            <w:tcW w:type="dxa" w:w="28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val="false"/>
                <w:bCs w:val="false"/>
                <w:color w:val="000000"/>
                <w:sz w:val="22"/>
                <w:szCs w:val="22"/>
              </w:rPr>
              <w:t xml:space="preserve">Exactly one</w:t>
            </w:r>
          </w:p>
        </w:tc>
      </w:tr>
      <w:tr>
        <w:tc>
          <w:tcPr>
            <w:tcW w:type="dxa" w:w="13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bCs/>
                <w:color w:val="000000"/>
                <w:sz w:val="22"/>
                <w:szCs w:val="22"/>
              </w:rPr>
              <w:t xml:space="preserve">3</w:t>
            </w:r>
          </w:p>
        </w:tc>
        <w:tc>
          <w:tcPr>
            <w:tcW w:type="dxa" w:w="2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bCs/>
                <w:color w:val="000000"/>
                <w:sz w:val="22"/>
                <w:szCs w:val="22"/>
              </w:rPr>
              <w:t xml:space="preserve">Stakeholder</w:t>
            </w:r>
          </w:p>
        </w:tc>
        <w:tc>
          <w:tcPr>
            <w:tcW w:type="dxa" w:w="32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val="false"/>
                <w:bCs w:val="false"/>
                <w:color w:val="000000"/>
                <w:sz w:val="22"/>
                <w:szCs w:val="22"/>
              </w:rPr>
              <w:t xml:space="preserve">Whose perspective is this?</w:t>
            </w:r>
          </w:p>
        </w:tc>
        <w:tc>
          <w:tcPr>
            <w:tcW w:type="dxa" w:w="28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val="false"/>
                <w:bCs w:val="false"/>
                <w:color w:val="000000"/>
                <w:sz w:val="22"/>
                <w:szCs w:val="22"/>
              </w:rPr>
              <w:t xml:space="preserve">One or more</w:t>
            </w:r>
          </w:p>
        </w:tc>
      </w:tr>
      <w:tr>
        <w:tc>
          <w:tcPr>
            <w:tcW w:type="dxa" w:w="13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bCs/>
                <w:color w:val="000000"/>
                <w:sz w:val="22"/>
                <w:szCs w:val="22"/>
              </w:rPr>
              <w:t xml:space="preserve">4</w:t>
            </w:r>
          </w:p>
        </w:tc>
        <w:tc>
          <w:tcPr>
            <w:tcW w:type="dxa" w:w="2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bCs/>
                <w:color w:val="000000"/>
                <w:sz w:val="22"/>
                <w:szCs w:val="22"/>
              </w:rPr>
              <w:t xml:space="preserve">Geography</w:t>
            </w:r>
          </w:p>
        </w:tc>
        <w:tc>
          <w:tcPr>
            <w:tcW w:type="dxa" w:w="32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val="false"/>
                <w:bCs w:val="false"/>
                <w:color w:val="000000"/>
                <w:sz w:val="22"/>
                <w:szCs w:val="22"/>
              </w:rPr>
              <w:t xml:space="preserve">Where did this happen?</w:t>
            </w:r>
          </w:p>
        </w:tc>
        <w:tc>
          <w:tcPr>
            <w:tcW w:type="dxa" w:w="28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val="false"/>
                <w:bCs w:val="false"/>
                <w:color w:val="000000"/>
                <w:sz w:val="22"/>
                <w:szCs w:val="22"/>
              </w:rPr>
              <w:t xml:space="preserve">One edition; zero or more places</w:t>
            </w:r>
          </w:p>
        </w:tc>
      </w:tr>
      <w:tr>
        <w:tc>
          <w:tcPr>
            <w:tcW w:type="dxa" w:w="13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bCs/>
                <w:color w:val="000000"/>
                <w:sz w:val="22"/>
                <w:szCs w:val="22"/>
              </w:rPr>
              <w:t xml:space="preserve">5</w:t>
            </w:r>
          </w:p>
        </w:tc>
        <w:tc>
          <w:tcPr>
            <w:tcW w:type="dxa" w:w="2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bCs/>
                <w:color w:val="000000"/>
                <w:sz w:val="22"/>
                <w:szCs w:val="22"/>
              </w:rPr>
              <w:t xml:space="preserve">Temporal Phase</w:t>
            </w:r>
          </w:p>
        </w:tc>
        <w:tc>
          <w:tcPr>
            <w:tcW w:type="dxa" w:w="32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val="false"/>
                <w:bCs w:val="false"/>
                <w:color w:val="000000"/>
                <w:sz w:val="22"/>
                <w:szCs w:val="22"/>
              </w:rPr>
              <w:t xml:space="preserve">When in the Kumbh cycle?</w:t>
            </w:r>
          </w:p>
        </w:tc>
        <w:tc>
          <w:tcPr>
            <w:tcW w:type="dxa" w:w="28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val="false"/>
                <w:bCs w:val="false"/>
                <w:color w:val="000000"/>
                <w:sz w:val="22"/>
                <w:szCs w:val="22"/>
              </w:rPr>
              <w:t xml:space="preserve">Exactly one (date-derived)</w:t>
            </w:r>
          </w:p>
        </w:tc>
      </w:tr>
      <w:tr>
        <w:tc>
          <w:tcPr>
            <w:tcW w:type="dxa" w:w="13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bCs/>
                <w:color w:val="000000"/>
                <w:sz w:val="22"/>
                <w:szCs w:val="22"/>
              </w:rPr>
              <w:t xml:space="preserve">6</w:t>
            </w:r>
          </w:p>
        </w:tc>
        <w:tc>
          <w:tcPr>
            <w:tcW w:type="dxa" w:w="2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bCs/>
                <w:color w:val="000000"/>
                <w:sz w:val="22"/>
                <w:szCs w:val="22"/>
              </w:rPr>
              <w:t xml:space="preserve">Information Quality</w:t>
            </w:r>
          </w:p>
        </w:tc>
        <w:tc>
          <w:tcPr>
            <w:tcW w:type="dxa" w:w="32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val="false"/>
                <w:bCs w:val="false"/>
                <w:color w:val="000000"/>
                <w:sz w:val="22"/>
                <w:szCs w:val="22"/>
              </w:rPr>
              <w:t xml:space="preserve">How trustworthy is this?</w:t>
            </w:r>
          </w:p>
        </w:tc>
        <w:tc>
          <w:tcPr>
            <w:tcW w:type="dxa" w:w="28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val="false"/>
                <w:bCs w:val="false"/>
                <w:color w:val="000000"/>
                <w:sz w:val="22"/>
                <w:szCs w:val="22"/>
              </w:rPr>
              <w:t xml:space="preserve">Structured fields (not tags)</w:t>
            </w:r>
          </w:p>
        </w:tc>
      </w:tr>
      <w:tr>
        <w:tc>
          <w:tcPr>
            <w:tcW w:type="dxa" w:w="13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bCs/>
                <w:color w:val="000000"/>
                <w:sz w:val="22"/>
                <w:szCs w:val="22"/>
              </w:rPr>
              <w:t xml:space="preserve">7</w:t>
            </w:r>
          </w:p>
        </w:tc>
        <w:tc>
          <w:tcPr>
            <w:tcW w:type="dxa" w:w="2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bCs/>
                <w:color w:val="000000"/>
                <w:sz w:val="22"/>
                <w:szCs w:val="22"/>
              </w:rPr>
              <w:t xml:space="preserve">Outcome Dimension</w:t>
            </w:r>
          </w:p>
        </w:tc>
        <w:tc>
          <w:tcPr>
            <w:tcW w:type="dxa" w:w="32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val="false"/>
                <w:bCs w:val="false"/>
                <w:color w:val="000000"/>
                <w:sz w:val="22"/>
                <w:szCs w:val="22"/>
              </w:rPr>
              <w:t xml:space="preserve">What does this affect?</w:t>
            </w:r>
          </w:p>
        </w:tc>
        <w:tc>
          <w:tcPr>
            <w:tcW w:type="dxa" w:w="28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val="false"/>
                <w:bCs w:val="false"/>
                <w:color w:val="000000"/>
                <w:sz w:val="22"/>
                <w:szCs w:val="22"/>
              </w:rPr>
              <w:t xml:space="preserve">One or more</w:t>
            </w:r>
          </w:p>
        </w:tc>
      </w:tr>
    </w:tbl>
    <w:p>
      <w:pPr>
        <w:spacing w:after="80" w:before="80"/>
      </w:pPr>
      <w:r>
        <w:t xml:space="preserve"/>
      </w:r>
    </w:p>
    <w:p>
      <w:pPr>
        <w:spacing w:after="60" w:before="60" w:line="320"/>
      </w:pPr>
      <w:r>
        <w:rPr>
          <w:rFonts w:ascii="Calibri" w:cs="Calibri" w:eastAsia="Calibri" w:hAnsi="Calibri"/>
          <w:sz w:val="22"/>
          <w:szCs w:val="22"/>
        </w:rPr>
        <w:t xml:space="preserve">The axes are independent. The same article can be tagged anywhere on any axis without contradiction. The classifier (a large language model) fills in all seven axes in a single pass — there is no second-classification step. The result is that one query against the archive can simultaneously slice on any combination of axes, which is what makes precise research queries possible.</w:t>
      </w:r>
    </w:p>
    <w:p>
      <w:r>
        <w:br w:type="page"/>
      </w:r>
    </w:p>
    <w:p>
      <w:pPr>
        <w:pStyle w:val="Heading1"/>
        <w:spacing w:after="180" w:before="360"/>
      </w:pPr>
      <w:r>
        <w:rPr>
          <w:rFonts w:ascii="Calibri" w:cs="Calibri" w:eastAsia="Calibri" w:hAnsi="Calibri"/>
          <w:b/>
          <w:bCs/>
          <w:color w:val="2E4057"/>
          <w:sz w:val="36"/>
          <w:szCs w:val="36"/>
        </w:rPr>
        <w:t xml:space="preserve">3. Axis 1 — Theme</w:t>
      </w:r>
    </w:p>
    <w:p>
      <w:pPr>
        <w:spacing w:after="60" w:before="60" w:line="320"/>
      </w:pPr>
      <w:r>
        <w:rPr>
          <w:rFonts w:ascii="Calibri" w:cs="Calibri" w:eastAsia="Calibri" w:hAnsi="Calibri"/>
          <w:sz w:val="22"/>
          <w:szCs w:val="22"/>
        </w:rPr>
        <w:t xml:space="preserve">Theme answers: what is the content about? It is the most familiar axis — closest to what most news websites call "categories" — but with two important differences. First, a content item gets multiple themes, not one. Second, themes are grouped into clusters for human navigation, but the cluster itself is never a tag — only the specific theme is.</w:t>
      </w:r>
    </w:p>
    <w:p>
      <w:pPr>
        <w:pStyle w:val="Heading3"/>
        <w:spacing w:after="110" w:before="220"/>
      </w:pPr>
      <w:r>
        <w:rPr>
          <w:rFonts w:ascii="Calibri" w:cs="Calibri" w:eastAsia="Calibri" w:hAnsi="Calibri"/>
          <w:b/>
          <w:bCs/>
          <w:color w:val="C8553D"/>
          <w:sz w:val="26"/>
          <w:szCs w:val="26"/>
        </w:rPr>
        <w:t xml:space="preserve">How theme tagging works in practice</w:t>
      </w:r>
    </w:p>
    <w:p>
      <w:pPr>
        <w:spacing w:after="60" w:before="60" w:line="320"/>
      </w:pPr>
      <w:r>
        <w:rPr>
          <w:rFonts w:ascii="Calibri" w:cs="Calibri" w:eastAsia="Calibri" w:hAnsi="Calibri"/>
          <w:sz w:val="22"/>
          <w:szCs w:val="22"/>
        </w:rPr>
        <w:t xml:space="preserve">Most content items receive 2 to 4 theme tags. An article about an AI-powered crowd density system installed at Ramkund could legitimately receive three themes: crowd management, AI analytics, and sensors &amp; drones. That is correct multi-tagging, not over-tagging. A short news brief about a road inauguration might get just one theme. A long investigative piece might get five.</w:t>
      </w:r>
    </w:p>
    <w:p>
      <w:pPr>
        <w:spacing w:after="60" w:before="60" w:line="320"/>
      </w:pPr>
      <w:r>
        <w:rPr>
          <w:rFonts w:ascii="Calibri" w:cs="Calibri" w:eastAsia="Calibri" w:hAnsi="Calibri"/>
          <w:sz w:val="22"/>
          <w:szCs w:val="22"/>
        </w:rPr>
        <w:t xml:space="preserve">The 28 themes are organized into 11 clusters. The cluster name (for example, Infrastructure or Information &amp; Truth) helps humans browse the list. It does not appear in any tag, query, or API response. The unit of tagging is always the specific theme — for example, theme.roads_bridges.</w:t>
      </w:r>
    </w:p>
    <w:p>
      <w:pPr>
        <w:pStyle w:val="Heading3"/>
        <w:spacing w:after="110" w:before="220"/>
      </w:pPr>
      <w:r>
        <w:rPr>
          <w:rFonts w:ascii="Calibri" w:cs="Calibri" w:eastAsia="Calibri" w:hAnsi="Calibri"/>
          <w:b/>
          <w:bCs/>
          <w:color w:val="C8553D"/>
          <w:sz w:val="26"/>
          <w:szCs w:val="26"/>
        </w:rPr>
        <w:t xml:space="preserve">The 11 clusters and their 28 themes</w:t>
      </w:r>
    </w:p>
    <w:p>
      <w:pPr>
        <w:pStyle w:val="Heading4"/>
        <w:spacing w:after="90" w:before="180"/>
      </w:pPr>
      <w:r>
        <w:rPr>
          <w:rFonts w:ascii="Calibri" w:cs="Calibri" w:eastAsia="Calibri" w:hAnsi="Calibri"/>
          <w:b/>
          <w:bCs/>
          <w:color w:val="2E4057"/>
          <w:sz w:val="24"/>
          <w:szCs w:val="24"/>
        </w:rPr>
        <w:t xml:space="preserve">Cluster —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rPr>
          <w:tblHeader/>
        </w:trPr>
        <w:tc>
          <w:tcPr>
            <w:tcW w:type="dxa" w:w="3000"/>
            <w:tcBorders>
              <w:top w:val="single" w:color="D1D5DB" w:sz="4"/>
              <w:left w:val="single" w:color="D1D5DB" w:sz="4"/>
              <w:bottom w:val="single" w:color="D1D5DB" w:sz="4"/>
              <w:right w:val="single" w:color="D1D5DB" w:sz="4"/>
            </w:tcBorders>
            <w:shd w:fill="2E4057" w:val="clear"/>
            <w:tcMar>
              <w:top w:type="dxa" w:w="120"/>
              <w:left w:type="dxa" w:w="140"/>
              <w:bottom w:type="dxa" w:w="120"/>
              <w:right w:type="dxa" w:w="140"/>
            </w:tcMar>
            <w:vAlign w:val="center"/>
          </w:tcPr>
          <w:p>
            <w:pPr>
              <w:spacing w:after="0" w:before="0"/>
            </w:pPr>
            <w:r>
              <w:rPr>
                <w:rFonts w:ascii="Calibri" w:cs="Calibri" w:eastAsia="Calibri" w:hAnsi="Calibri"/>
                <w:b/>
                <w:bCs/>
                <w:color w:val="FFFFFF"/>
                <w:sz w:val="22"/>
                <w:szCs w:val="22"/>
              </w:rPr>
              <w:t xml:space="preserve">Tag ID</w:t>
            </w:r>
          </w:p>
        </w:tc>
        <w:tc>
          <w:tcPr>
            <w:tcW w:type="dxa" w:w="2400"/>
            <w:tcBorders>
              <w:top w:val="single" w:color="D1D5DB" w:sz="4"/>
              <w:left w:val="single" w:color="D1D5DB" w:sz="4"/>
              <w:bottom w:val="single" w:color="D1D5DB" w:sz="4"/>
              <w:right w:val="single" w:color="D1D5DB" w:sz="4"/>
            </w:tcBorders>
            <w:shd w:fill="2E4057" w:val="clear"/>
            <w:tcMar>
              <w:top w:type="dxa" w:w="120"/>
              <w:left w:type="dxa" w:w="140"/>
              <w:bottom w:type="dxa" w:w="120"/>
              <w:right w:type="dxa" w:w="140"/>
            </w:tcMar>
            <w:vAlign w:val="center"/>
          </w:tcPr>
          <w:p>
            <w:pPr>
              <w:spacing w:after="0" w:before="0"/>
            </w:pPr>
            <w:r>
              <w:rPr>
                <w:rFonts w:ascii="Calibri" w:cs="Calibri" w:eastAsia="Calibri" w:hAnsi="Calibri"/>
                <w:b/>
                <w:bCs/>
                <w:color w:val="FFFFFF"/>
                <w:sz w:val="22"/>
                <w:szCs w:val="22"/>
              </w:rPr>
              <w:t xml:space="preserve">Display Name</w:t>
            </w:r>
          </w:p>
        </w:tc>
        <w:tc>
          <w:tcPr>
            <w:tcW w:type="dxa" w:w="3960"/>
            <w:tcBorders>
              <w:top w:val="single" w:color="D1D5DB" w:sz="4"/>
              <w:left w:val="single" w:color="D1D5DB" w:sz="4"/>
              <w:bottom w:val="single" w:color="D1D5DB" w:sz="4"/>
              <w:right w:val="single" w:color="D1D5DB" w:sz="4"/>
            </w:tcBorders>
            <w:shd w:fill="2E4057" w:val="clear"/>
            <w:tcMar>
              <w:top w:type="dxa" w:w="120"/>
              <w:left w:type="dxa" w:w="140"/>
              <w:bottom w:type="dxa" w:w="120"/>
              <w:right w:type="dxa" w:w="140"/>
            </w:tcMar>
            <w:vAlign w:val="center"/>
          </w:tcPr>
          <w:p>
            <w:pPr>
              <w:spacing w:after="0" w:before="0"/>
            </w:pPr>
            <w:r>
              <w:rPr>
                <w:rFonts w:ascii="Calibri" w:cs="Calibri" w:eastAsia="Calibri" w:hAnsi="Calibri"/>
                <w:b/>
                <w:bCs/>
                <w:color w:val="FFFFFF"/>
                <w:sz w:val="22"/>
                <w:szCs w:val="22"/>
              </w:rPr>
              <w:t xml:space="preserve">Definition</w:t>
            </w:r>
          </w:p>
        </w:tc>
      </w:tr>
      <w:tr>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onsolas" w:cs="Consolas" w:eastAsia="Consolas" w:hAnsi="Consolas"/>
                <w:b w:val="false"/>
                <w:bCs w:val="false"/>
                <w:color w:val="2E4057"/>
                <w:sz w:val="20"/>
                <w:szCs w:val="20"/>
              </w:rPr>
              <w:t xml:space="preserve">theme.roads_bridges</w:t>
            </w:r>
          </w:p>
        </w:tc>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bCs/>
                <w:color w:val="000000"/>
                <w:sz w:val="22"/>
                <w:szCs w:val="22"/>
              </w:rPr>
              <w:t xml:space="preserve">Roads &amp; Bridges</w:t>
            </w:r>
          </w:p>
        </w:tc>
        <w:tc>
          <w:tcPr>
            <w:tcW w:type="dxa" w:w="39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val="false"/>
                <w:bCs w:val="false"/>
                <w:color w:val="000000"/>
                <w:sz w:val="22"/>
                <w:szCs w:val="22"/>
              </w:rPr>
              <w:t xml:space="preserve">Vehicular infrastructure built or upgraded for Kumbh — roads, flyovers, bridges, traffic signal systems.</w:t>
            </w:r>
          </w:p>
        </w:tc>
      </w:tr>
      <w:tr>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onsolas" w:cs="Consolas" w:eastAsia="Consolas" w:hAnsi="Consolas"/>
                <w:b w:val="false"/>
                <w:bCs w:val="false"/>
                <w:color w:val="2E4057"/>
                <w:sz w:val="20"/>
                <w:szCs w:val="20"/>
              </w:rPr>
              <w:t xml:space="preserve">theme.ghats_river_works</w:t>
            </w:r>
          </w:p>
        </w:tc>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bCs/>
                <w:color w:val="000000"/>
                <w:sz w:val="22"/>
                <w:szCs w:val="22"/>
              </w:rPr>
              <w:t xml:space="preserve">Ghats &amp; River Works</w:t>
            </w:r>
          </w:p>
        </w:tc>
        <w:tc>
          <w:tcPr>
            <w:tcW w:type="dxa" w:w="39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val="false"/>
                <w:bCs w:val="false"/>
                <w:color w:val="000000"/>
                <w:sz w:val="22"/>
                <w:szCs w:val="22"/>
              </w:rPr>
              <w:t xml:space="preserve">Bathing ghats, river embankments, dredging, river-side civil works specific to Kumbh.</w:t>
            </w:r>
          </w:p>
        </w:tc>
      </w:tr>
      <w:tr>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onsolas" w:cs="Consolas" w:eastAsia="Consolas" w:hAnsi="Consolas"/>
                <w:b w:val="false"/>
                <w:bCs w:val="false"/>
                <w:color w:val="2E4057"/>
                <w:sz w:val="20"/>
                <w:szCs w:val="20"/>
              </w:rPr>
              <w:t xml:space="preserve">theme.sanitation_infra</w:t>
            </w:r>
          </w:p>
        </w:tc>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bCs/>
                <w:color w:val="000000"/>
                <w:sz w:val="22"/>
                <w:szCs w:val="22"/>
              </w:rPr>
              <w:t xml:space="preserve">Sanitation Infrastructure</w:t>
            </w:r>
          </w:p>
        </w:tc>
        <w:tc>
          <w:tcPr>
            <w:tcW w:type="dxa" w:w="39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val="false"/>
                <w:bCs w:val="false"/>
                <w:color w:val="000000"/>
                <w:sz w:val="22"/>
                <w:szCs w:val="22"/>
              </w:rPr>
              <w:t xml:space="preserve">Toilets, sewage lines, treatment plants, drainage — the physical plumbing of waste.</w:t>
            </w:r>
          </w:p>
        </w:tc>
      </w:tr>
      <w:tr>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onsolas" w:cs="Consolas" w:eastAsia="Consolas" w:hAnsi="Consolas"/>
                <w:b w:val="false"/>
                <w:bCs w:val="false"/>
                <w:color w:val="2E4057"/>
                <w:sz w:val="20"/>
                <w:szCs w:val="20"/>
              </w:rPr>
              <w:t xml:space="preserve">theme.power_lighting</w:t>
            </w:r>
          </w:p>
        </w:tc>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bCs/>
                <w:color w:val="000000"/>
                <w:sz w:val="22"/>
                <w:szCs w:val="22"/>
              </w:rPr>
              <w:t xml:space="preserve">Power &amp; Lighting</w:t>
            </w:r>
          </w:p>
        </w:tc>
        <w:tc>
          <w:tcPr>
            <w:tcW w:type="dxa" w:w="39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val="false"/>
                <w:bCs w:val="false"/>
                <w:color w:val="000000"/>
                <w:sz w:val="22"/>
                <w:szCs w:val="22"/>
              </w:rPr>
              <w:t xml:space="preserve">Electrical grid upgrades, generators, street lighting, temporary power for the event.</w:t>
            </w:r>
          </w:p>
        </w:tc>
      </w:tr>
      <w:tr>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onsolas" w:cs="Consolas" w:eastAsia="Consolas" w:hAnsi="Consolas"/>
                <w:b w:val="false"/>
                <w:bCs w:val="false"/>
                <w:color w:val="2E4057"/>
                <w:sz w:val="20"/>
                <w:szCs w:val="20"/>
              </w:rPr>
              <w:t xml:space="preserve">theme.connectivity</w:t>
            </w:r>
          </w:p>
        </w:tc>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bCs/>
                <w:color w:val="000000"/>
                <w:sz w:val="22"/>
                <w:szCs w:val="22"/>
              </w:rPr>
              <w:t xml:space="preserve">Connectivity &amp; Network</w:t>
            </w:r>
          </w:p>
        </w:tc>
        <w:tc>
          <w:tcPr>
            <w:tcW w:type="dxa" w:w="39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val="false"/>
                <w:bCs w:val="false"/>
                <w:color w:val="000000"/>
                <w:sz w:val="22"/>
                <w:szCs w:val="22"/>
              </w:rPr>
              <w:t xml:space="preserve">Telecom infrastructure — towers, fibre, Wi-Fi hotspots, network capacity for Kumbh.</w:t>
            </w:r>
          </w:p>
        </w:tc>
      </w:tr>
      <w:tr>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onsolas" w:cs="Consolas" w:eastAsia="Consolas" w:hAnsi="Consolas"/>
                <w:b w:val="false"/>
                <w:bCs w:val="false"/>
                <w:color w:val="2E4057"/>
                <w:sz w:val="20"/>
                <w:szCs w:val="20"/>
              </w:rPr>
              <w:t xml:space="preserve">theme.transport_systems</w:t>
            </w:r>
          </w:p>
        </w:tc>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bCs/>
                <w:color w:val="000000"/>
                <w:sz w:val="22"/>
                <w:szCs w:val="22"/>
              </w:rPr>
              <w:t xml:space="preserve">Transport Systems</w:t>
            </w:r>
          </w:p>
        </w:tc>
        <w:tc>
          <w:tcPr>
            <w:tcW w:type="dxa" w:w="39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val="false"/>
                <w:bCs w:val="false"/>
                <w:color w:val="000000"/>
                <w:sz w:val="22"/>
                <w:szCs w:val="22"/>
              </w:rPr>
              <w:t xml:space="preserve">Buses, special trains, parking strategy, public transit operations for the event.</w:t>
            </w:r>
          </w:p>
        </w:tc>
      </w:tr>
    </w:tbl>
    <w:p>
      <w:pPr>
        <w:spacing w:after="80" w:before="80"/>
      </w:pPr>
      <w:r>
        <w:t xml:space="preserve"/>
      </w:r>
    </w:p>
    <w:p>
      <w:pPr>
        <w:pStyle w:val="Heading4"/>
        <w:spacing w:after="90" w:before="180"/>
      </w:pPr>
      <w:r>
        <w:rPr>
          <w:rFonts w:ascii="Calibri" w:cs="Calibri" w:eastAsia="Calibri" w:hAnsi="Calibri"/>
          <w:b/>
          <w:bCs/>
          <w:color w:val="2E4057"/>
          <w:sz w:val="24"/>
          <w:szCs w:val="24"/>
        </w:rPr>
        <w:t xml:space="preserve">Cluster — Health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rPr>
          <w:tblHeader/>
        </w:trPr>
        <w:tc>
          <w:tcPr>
            <w:tcW w:type="dxa" w:w="3000"/>
            <w:tcBorders>
              <w:top w:val="single" w:color="D1D5DB" w:sz="4"/>
              <w:left w:val="single" w:color="D1D5DB" w:sz="4"/>
              <w:bottom w:val="single" w:color="D1D5DB" w:sz="4"/>
              <w:right w:val="single" w:color="D1D5DB" w:sz="4"/>
            </w:tcBorders>
            <w:shd w:fill="2E4057" w:val="clear"/>
            <w:tcMar>
              <w:top w:type="dxa" w:w="120"/>
              <w:left w:type="dxa" w:w="140"/>
              <w:bottom w:type="dxa" w:w="120"/>
              <w:right w:type="dxa" w:w="140"/>
            </w:tcMar>
            <w:vAlign w:val="center"/>
          </w:tcPr>
          <w:p>
            <w:pPr>
              <w:spacing w:after="0" w:before="0"/>
            </w:pPr>
            <w:r>
              <w:rPr>
                <w:rFonts w:ascii="Calibri" w:cs="Calibri" w:eastAsia="Calibri" w:hAnsi="Calibri"/>
                <w:b/>
                <w:bCs/>
                <w:color w:val="FFFFFF"/>
                <w:sz w:val="22"/>
                <w:szCs w:val="22"/>
              </w:rPr>
              <w:t xml:space="preserve">Tag ID</w:t>
            </w:r>
          </w:p>
        </w:tc>
        <w:tc>
          <w:tcPr>
            <w:tcW w:type="dxa" w:w="2400"/>
            <w:tcBorders>
              <w:top w:val="single" w:color="D1D5DB" w:sz="4"/>
              <w:left w:val="single" w:color="D1D5DB" w:sz="4"/>
              <w:bottom w:val="single" w:color="D1D5DB" w:sz="4"/>
              <w:right w:val="single" w:color="D1D5DB" w:sz="4"/>
            </w:tcBorders>
            <w:shd w:fill="2E4057" w:val="clear"/>
            <w:tcMar>
              <w:top w:type="dxa" w:w="120"/>
              <w:left w:type="dxa" w:w="140"/>
              <w:bottom w:type="dxa" w:w="120"/>
              <w:right w:type="dxa" w:w="140"/>
            </w:tcMar>
            <w:vAlign w:val="center"/>
          </w:tcPr>
          <w:p>
            <w:pPr>
              <w:spacing w:after="0" w:before="0"/>
            </w:pPr>
            <w:r>
              <w:rPr>
                <w:rFonts w:ascii="Calibri" w:cs="Calibri" w:eastAsia="Calibri" w:hAnsi="Calibri"/>
                <w:b/>
                <w:bCs/>
                <w:color w:val="FFFFFF"/>
                <w:sz w:val="22"/>
                <w:szCs w:val="22"/>
              </w:rPr>
              <w:t xml:space="preserve">Display Name</w:t>
            </w:r>
          </w:p>
        </w:tc>
        <w:tc>
          <w:tcPr>
            <w:tcW w:type="dxa" w:w="3960"/>
            <w:tcBorders>
              <w:top w:val="single" w:color="D1D5DB" w:sz="4"/>
              <w:left w:val="single" w:color="D1D5DB" w:sz="4"/>
              <w:bottom w:val="single" w:color="D1D5DB" w:sz="4"/>
              <w:right w:val="single" w:color="D1D5DB" w:sz="4"/>
            </w:tcBorders>
            <w:shd w:fill="2E4057" w:val="clear"/>
            <w:tcMar>
              <w:top w:type="dxa" w:w="120"/>
              <w:left w:type="dxa" w:w="140"/>
              <w:bottom w:type="dxa" w:w="120"/>
              <w:right w:type="dxa" w:w="140"/>
            </w:tcMar>
            <w:vAlign w:val="center"/>
          </w:tcPr>
          <w:p>
            <w:pPr>
              <w:spacing w:after="0" w:before="0"/>
            </w:pPr>
            <w:r>
              <w:rPr>
                <w:rFonts w:ascii="Calibri" w:cs="Calibri" w:eastAsia="Calibri" w:hAnsi="Calibri"/>
                <w:b/>
                <w:bCs/>
                <w:color w:val="FFFFFF"/>
                <w:sz w:val="22"/>
                <w:szCs w:val="22"/>
              </w:rPr>
              <w:t xml:space="preserve">Definition</w:t>
            </w:r>
          </w:p>
        </w:tc>
      </w:tr>
      <w:tr>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onsolas" w:cs="Consolas" w:eastAsia="Consolas" w:hAnsi="Consolas"/>
                <w:b w:val="false"/>
                <w:bCs w:val="false"/>
                <w:color w:val="2E4057"/>
                <w:sz w:val="20"/>
                <w:szCs w:val="20"/>
              </w:rPr>
              <w:t xml:space="preserve">theme.epidemic_surveillance</w:t>
            </w:r>
          </w:p>
        </w:tc>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bCs/>
                <w:color w:val="000000"/>
                <w:sz w:val="22"/>
                <w:szCs w:val="22"/>
              </w:rPr>
              <w:t xml:space="preserve">Epidemic Surveillance</w:t>
            </w:r>
          </w:p>
        </w:tc>
        <w:tc>
          <w:tcPr>
            <w:tcW w:type="dxa" w:w="39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val="false"/>
                <w:bCs w:val="false"/>
                <w:color w:val="000000"/>
                <w:sz w:val="22"/>
                <w:szCs w:val="22"/>
              </w:rPr>
              <w:t xml:space="preserve">Disease monitoring, outbreak response, vector control, waterborne disease tracking.</w:t>
            </w:r>
          </w:p>
        </w:tc>
      </w:tr>
      <w:tr>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onsolas" w:cs="Consolas" w:eastAsia="Consolas" w:hAnsi="Consolas"/>
                <w:b w:val="false"/>
                <w:bCs w:val="false"/>
                <w:color w:val="2E4057"/>
                <w:sz w:val="20"/>
                <w:szCs w:val="20"/>
              </w:rPr>
              <w:t xml:space="preserve">theme.medical_response</w:t>
            </w:r>
          </w:p>
        </w:tc>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bCs/>
                <w:color w:val="000000"/>
                <w:sz w:val="22"/>
                <w:szCs w:val="22"/>
              </w:rPr>
              <w:t xml:space="preserve">Medical Response</w:t>
            </w:r>
          </w:p>
        </w:tc>
        <w:tc>
          <w:tcPr>
            <w:tcW w:type="dxa" w:w="39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val="false"/>
                <w:bCs w:val="false"/>
                <w:color w:val="000000"/>
                <w:sz w:val="22"/>
                <w:szCs w:val="22"/>
              </w:rPr>
              <w:t xml:space="preserve">Hospitals, temporary medical camps, ambulance deployment, mass casualty preparation.</w:t>
            </w:r>
          </w:p>
        </w:tc>
      </w:tr>
      <w:tr>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onsolas" w:cs="Consolas" w:eastAsia="Consolas" w:hAnsi="Consolas"/>
                <w:b w:val="false"/>
                <w:bCs w:val="false"/>
                <w:color w:val="2E4057"/>
                <w:sz w:val="20"/>
                <w:szCs w:val="20"/>
              </w:rPr>
              <w:t xml:space="preserve">theme.mental_health</w:t>
            </w:r>
          </w:p>
        </w:tc>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bCs/>
                <w:color w:val="000000"/>
                <w:sz w:val="22"/>
                <w:szCs w:val="22"/>
              </w:rPr>
              <w:t xml:space="preserve">Mental Health</w:t>
            </w:r>
          </w:p>
        </w:tc>
        <w:tc>
          <w:tcPr>
            <w:tcW w:type="dxa" w:w="39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val="false"/>
                <w:bCs w:val="false"/>
                <w:color w:val="000000"/>
                <w:sz w:val="22"/>
                <w:szCs w:val="22"/>
              </w:rPr>
              <w:t xml:space="preserve">Counselling services, trauma response, psychological support for pilgrims and responders.</w:t>
            </w:r>
          </w:p>
        </w:tc>
      </w:tr>
    </w:tbl>
    <w:p>
      <w:pPr>
        <w:spacing w:after="80" w:before="80"/>
      </w:pPr>
      <w:r>
        <w:t xml:space="preserve"/>
      </w:r>
    </w:p>
    <w:p>
      <w:pPr>
        <w:pStyle w:val="Heading4"/>
        <w:spacing w:after="90" w:before="180"/>
      </w:pPr>
      <w:r>
        <w:rPr>
          <w:rFonts w:ascii="Calibri" w:cs="Calibri" w:eastAsia="Calibri" w:hAnsi="Calibri"/>
          <w:b/>
          <w:bCs/>
          <w:color w:val="2E4057"/>
          <w:sz w:val="24"/>
          <w:szCs w:val="24"/>
        </w:rPr>
        <w:t xml:space="preserve">Cluster — Food &amp; Water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rPr>
          <w:tblHeader/>
        </w:trPr>
        <w:tc>
          <w:tcPr>
            <w:tcW w:type="dxa" w:w="3000"/>
            <w:tcBorders>
              <w:top w:val="single" w:color="D1D5DB" w:sz="4"/>
              <w:left w:val="single" w:color="D1D5DB" w:sz="4"/>
              <w:bottom w:val="single" w:color="D1D5DB" w:sz="4"/>
              <w:right w:val="single" w:color="D1D5DB" w:sz="4"/>
            </w:tcBorders>
            <w:shd w:fill="2E4057" w:val="clear"/>
            <w:tcMar>
              <w:top w:type="dxa" w:w="120"/>
              <w:left w:type="dxa" w:w="140"/>
              <w:bottom w:type="dxa" w:w="120"/>
              <w:right w:type="dxa" w:w="140"/>
            </w:tcMar>
            <w:vAlign w:val="center"/>
          </w:tcPr>
          <w:p>
            <w:pPr>
              <w:spacing w:after="0" w:before="0"/>
            </w:pPr>
            <w:r>
              <w:rPr>
                <w:rFonts w:ascii="Calibri" w:cs="Calibri" w:eastAsia="Calibri" w:hAnsi="Calibri"/>
                <w:b/>
                <w:bCs/>
                <w:color w:val="FFFFFF"/>
                <w:sz w:val="22"/>
                <w:szCs w:val="22"/>
              </w:rPr>
              <w:t xml:space="preserve">Tag ID</w:t>
            </w:r>
          </w:p>
        </w:tc>
        <w:tc>
          <w:tcPr>
            <w:tcW w:type="dxa" w:w="2400"/>
            <w:tcBorders>
              <w:top w:val="single" w:color="D1D5DB" w:sz="4"/>
              <w:left w:val="single" w:color="D1D5DB" w:sz="4"/>
              <w:bottom w:val="single" w:color="D1D5DB" w:sz="4"/>
              <w:right w:val="single" w:color="D1D5DB" w:sz="4"/>
            </w:tcBorders>
            <w:shd w:fill="2E4057" w:val="clear"/>
            <w:tcMar>
              <w:top w:type="dxa" w:w="120"/>
              <w:left w:type="dxa" w:w="140"/>
              <w:bottom w:type="dxa" w:w="120"/>
              <w:right w:type="dxa" w:w="140"/>
            </w:tcMar>
            <w:vAlign w:val="center"/>
          </w:tcPr>
          <w:p>
            <w:pPr>
              <w:spacing w:after="0" w:before="0"/>
            </w:pPr>
            <w:r>
              <w:rPr>
                <w:rFonts w:ascii="Calibri" w:cs="Calibri" w:eastAsia="Calibri" w:hAnsi="Calibri"/>
                <w:b/>
                <w:bCs/>
                <w:color w:val="FFFFFF"/>
                <w:sz w:val="22"/>
                <w:szCs w:val="22"/>
              </w:rPr>
              <w:t xml:space="preserve">Display Name</w:t>
            </w:r>
          </w:p>
        </w:tc>
        <w:tc>
          <w:tcPr>
            <w:tcW w:type="dxa" w:w="3960"/>
            <w:tcBorders>
              <w:top w:val="single" w:color="D1D5DB" w:sz="4"/>
              <w:left w:val="single" w:color="D1D5DB" w:sz="4"/>
              <w:bottom w:val="single" w:color="D1D5DB" w:sz="4"/>
              <w:right w:val="single" w:color="D1D5DB" w:sz="4"/>
            </w:tcBorders>
            <w:shd w:fill="2E4057" w:val="clear"/>
            <w:tcMar>
              <w:top w:type="dxa" w:w="120"/>
              <w:left w:type="dxa" w:w="140"/>
              <w:bottom w:type="dxa" w:w="120"/>
              <w:right w:type="dxa" w:w="140"/>
            </w:tcMar>
            <w:vAlign w:val="center"/>
          </w:tcPr>
          <w:p>
            <w:pPr>
              <w:spacing w:after="0" w:before="0"/>
            </w:pPr>
            <w:r>
              <w:rPr>
                <w:rFonts w:ascii="Calibri" w:cs="Calibri" w:eastAsia="Calibri" w:hAnsi="Calibri"/>
                <w:b/>
                <w:bCs/>
                <w:color w:val="FFFFFF"/>
                <w:sz w:val="22"/>
                <w:szCs w:val="22"/>
              </w:rPr>
              <w:t xml:space="preserve">Definition</w:t>
            </w:r>
          </w:p>
        </w:tc>
      </w:tr>
      <w:tr>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onsolas" w:cs="Consolas" w:eastAsia="Consolas" w:hAnsi="Consolas"/>
                <w:b w:val="false"/>
                <w:bCs w:val="false"/>
                <w:color w:val="2E4057"/>
                <w:sz w:val="20"/>
                <w:szCs w:val="20"/>
              </w:rPr>
              <w:t xml:space="preserve">theme.community_kitchens</w:t>
            </w:r>
          </w:p>
        </w:tc>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bCs/>
                <w:color w:val="000000"/>
                <w:sz w:val="22"/>
                <w:szCs w:val="22"/>
              </w:rPr>
              <w:t xml:space="preserve">Community Kitchens</w:t>
            </w:r>
          </w:p>
        </w:tc>
        <w:tc>
          <w:tcPr>
            <w:tcW w:type="dxa" w:w="39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val="false"/>
                <w:bCs w:val="false"/>
                <w:color w:val="000000"/>
                <w:sz w:val="22"/>
                <w:szCs w:val="22"/>
              </w:rPr>
              <w:t xml:space="preserve">Annadanam, langar, akhada and NGO food distribution at scale.</w:t>
            </w:r>
          </w:p>
        </w:tc>
      </w:tr>
      <w:tr>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onsolas" w:cs="Consolas" w:eastAsia="Consolas" w:hAnsi="Consolas"/>
                <w:b w:val="false"/>
                <w:bCs w:val="false"/>
                <w:color w:val="2E4057"/>
                <w:sz w:val="20"/>
                <w:szCs w:val="20"/>
              </w:rPr>
              <w:t xml:space="preserve">theme.food_safety</w:t>
            </w:r>
          </w:p>
        </w:tc>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bCs/>
                <w:color w:val="000000"/>
                <w:sz w:val="22"/>
                <w:szCs w:val="22"/>
              </w:rPr>
              <w:t xml:space="preserve">Food Safety</w:t>
            </w:r>
          </w:p>
        </w:tc>
        <w:tc>
          <w:tcPr>
            <w:tcW w:type="dxa" w:w="39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val="false"/>
                <w:bCs w:val="false"/>
                <w:color w:val="000000"/>
                <w:sz w:val="22"/>
                <w:szCs w:val="22"/>
              </w:rPr>
              <w:t xml:space="preserve">Adulteration, hygiene inspections, FSSAI raids, food poisoning incidents.</w:t>
            </w:r>
          </w:p>
        </w:tc>
      </w:tr>
      <w:tr>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onsolas" w:cs="Consolas" w:eastAsia="Consolas" w:hAnsi="Consolas"/>
                <w:b w:val="false"/>
                <w:bCs w:val="false"/>
                <w:color w:val="2E4057"/>
                <w:sz w:val="20"/>
                <w:szCs w:val="20"/>
              </w:rPr>
              <w:t xml:space="preserve">theme.water_supply</w:t>
            </w:r>
          </w:p>
        </w:tc>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bCs/>
                <w:color w:val="000000"/>
                <w:sz w:val="22"/>
                <w:szCs w:val="22"/>
              </w:rPr>
              <w:t xml:space="preserve">Drinking Water Supply</w:t>
            </w:r>
          </w:p>
        </w:tc>
        <w:tc>
          <w:tcPr>
            <w:tcW w:type="dxa" w:w="39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val="false"/>
                <w:bCs w:val="false"/>
                <w:color w:val="000000"/>
                <w:sz w:val="22"/>
                <w:szCs w:val="22"/>
              </w:rPr>
              <w:t xml:space="preserve">Provision and distribution of drinking water — tankers, points, distribution logistics.</w:t>
            </w:r>
          </w:p>
        </w:tc>
      </w:tr>
    </w:tbl>
    <w:p>
      <w:pPr>
        <w:spacing w:after="80" w:before="80"/>
      </w:pPr>
      <w:r>
        <w:t xml:space="preserve"/>
      </w:r>
    </w:p>
    <w:p>
      <w:pPr>
        <w:pStyle w:val="Heading4"/>
        <w:spacing w:after="90" w:before="180"/>
      </w:pPr>
      <w:r>
        <w:rPr>
          <w:rFonts w:ascii="Calibri" w:cs="Calibri" w:eastAsia="Calibri" w:hAnsi="Calibri"/>
          <w:b/>
          <w:bCs/>
          <w:color w:val="2E4057"/>
          <w:sz w:val="24"/>
          <w:szCs w:val="24"/>
        </w:rPr>
        <w:t xml:space="preserve">Cluster — Crowd &amp; Safety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rPr>
          <w:tblHeader/>
        </w:trPr>
        <w:tc>
          <w:tcPr>
            <w:tcW w:type="dxa" w:w="3000"/>
            <w:tcBorders>
              <w:top w:val="single" w:color="D1D5DB" w:sz="4"/>
              <w:left w:val="single" w:color="D1D5DB" w:sz="4"/>
              <w:bottom w:val="single" w:color="D1D5DB" w:sz="4"/>
              <w:right w:val="single" w:color="D1D5DB" w:sz="4"/>
            </w:tcBorders>
            <w:shd w:fill="2E4057" w:val="clear"/>
            <w:tcMar>
              <w:top w:type="dxa" w:w="120"/>
              <w:left w:type="dxa" w:w="140"/>
              <w:bottom w:type="dxa" w:w="120"/>
              <w:right w:type="dxa" w:w="140"/>
            </w:tcMar>
            <w:vAlign w:val="center"/>
          </w:tcPr>
          <w:p>
            <w:pPr>
              <w:spacing w:after="0" w:before="0"/>
            </w:pPr>
            <w:r>
              <w:rPr>
                <w:rFonts w:ascii="Calibri" w:cs="Calibri" w:eastAsia="Calibri" w:hAnsi="Calibri"/>
                <w:b/>
                <w:bCs/>
                <w:color w:val="FFFFFF"/>
                <w:sz w:val="22"/>
                <w:szCs w:val="22"/>
              </w:rPr>
              <w:t xml:space="preserve">Tag ID</w:t>
            </w:r>
          </w:p>
        </w:tc>
        <w:tc>
          <w:tcPr>
            <w:tcW w:type="dxa" w:w="2400"/>
            <w:tcBorders>
              <w:top w:val="single" w:color="D1D5DB" w:sz="4"/>
              <w:left w:val="single" w:color="D1D5DB" w:sz="4"/>
              <w:bottom w:val="single" w:color="D1D5DB" w:sz="4"/>
              <w:right w:val="single" w:color="D1D5DB" w:sz="4"/>
            </w:tcBorders>
            <w:shd w:fill="2E4057" w:val="clear"/>
            <w:tcMar>
              <w:top w:type="dxa" w:w="120"/>
              <w:left w:type="dxa" w:w="140"/>
              <w:bottom w:type="dxa" w:w="120"/>
              <w:right w:type="dxa" w:w="140"/>
            </w:tcMar>
            <w:vAlign w:val="center"/>
          </w:tcPr>
          <w:p>
            <w:pPr>
              <w:spacing w:after="0" w:before="0"/>
            </w:pPr>
            <w:r>
              <w:rPr>
                <w:rFonts w:ascii="Calibri" w:cs="Calibri" w:eastAsia="Calibri" w:hAnsi="Calibri"/>
                <w:b/>
                <w:bCs/>
                <w:color w:val="FFFFFF"/>
                <w:sz w:val="22"/>
                <w:szCs w:val="22"/>
              </w:rPr>
              <w:t xml:space="preserve">Display Name</w:t>
            </w:r>
          </w:p>
        </w:tc>
        <w:tc>
          <w:tcPr>
            <w:tcW w:type="dxa" w:w="3960"/>
            <w:tcBorders>
              <w:top w:val="single" w:color="D1D5DB" w:sz="4"/>
              <w:left w:val="single" w:color="D1D5DB" w:sz="4"/>
              <w:bottom w:val="single" w:color="D1D5DB" w:sz="4"/>
              <w:right w:val="single" w:color="D1D5DB" w:sz="4"/>
            </w:tcBorders>
            <w:shd w:fill="2E4057" w:val="clear"/>
            <w:tcMar>
              <w:top w:type="dxa" w:w="120"/>
              <w:left w:type="dxa" w:w="140"/>
              <w:bottom w:type="dxa" w:w="120"/>
              <w:right w:type="dxa" w:w="140"/>
            </w:tcMar>
            <w:vAlign w:val="center"/>
          </w:tcPr>
          <w:p>
            <w:pPr>
              <w:spacing w:after="0" w:before="0"/>
            </w:pPr>
            <w:r>
              <w:rPr>
                <w:rFonts w:ascii="Calibri" w:cs="Calibri" w:eastAsia="Calibri" w:hAnsi="Calibri"/>
                <w:b/>
                <w:bCs/>
                <w:color w:val="FFFFFF"/>
                <w:sz w:val="22"/>
                <w:szCs w:val="22"/>
              </w:rPr>
              <w:t xml:space="preserve">Definition</w:t>
            </w:r>
          </w:p>
        </w:tc>
      </w:tr>
      <w:tr>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onsolas" w:cs="Consolas" w:eastAsia="Consolas" w:hAnsi="Consolas"/>
                <w:b w:val="false"/>
                <w:bCs w:val="false"/>
                <w:color w:val="2E4057"/>
                <w:sz w:val="20"/>
                <w:szCs w:val="20"/>
              </w:rPr>
              <w:t xml:space="preserve">theme.crowd_management</w:t>
            </w:r>
          </w:p>
        </w:tc>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bCs/>
                <w:color w:val="000000"/>
                <w:sz w:val="22"/>
                <w:szCs w:val="22"/>
              </w:rPr>
              <w:t xml:space="preserve">Crowd Management</w:t>
            </w:r>
          </w:p>
        </w:tc>
        <w:tc>
          <w:tcPr>
            <w:tcW w:type="dxa" w:w="39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val="false"/>
                <w:bCs w:val="false"/>
                <w:color w:val="000000"/>
                <w:sz w:val="22"/>
                <w:szCs w:val="22"/>
              </w:rPr>
              <w:t xml:space="preserve">Density monitoring, flow control, queue systems, barrier and slot management.</w:t>
            </w:r>
          </w:p>
        </w:tc>
      </w:tr>
      <w:tr>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onsolas" w:cs="Consolas" w:eastAsia="Consolas" w:hAnsi="Consolas"/>
                <w:b w:val="false"/>
                <w:bCs w:val="false"/>
                <w:color w:val="2E4057"/>
                <w:sz w:val="20"/>
                <w:szCs w:val="20"/>
              </w:rPr>
              <w:t xml:space="preserve">theme.incident_response</w:t>
            </w:r>
          </w:p>
        </w:tc>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bCs/>
                <w:color w:val="000000"/>
                <w:sz w:val="22"/>
                <w:szCs w:val="22"/>
              </w:rPr>
              <w:t xml:space="preserve">Incident Response</w:t>
            </w:r>
          </w:p>
        </w:tc>
        <w:tc>
          <w:tcPr>
            <w:tcW w:type="dxa" w:w="39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val="false"/>
                <w:bCs w:val="false"/>
                <w:color w:val="000000"/>
                <w:sz w:val="22"/>
                <w:szCs w:val="22"/>
              </w:rPr>
              <w:t xml:space="preserve">Stampedes, fires, drownings, accidents, and the operational response to them.</w:t>
            </w:r>
          </w:p>
        </w:tc>
      </w:tr>
      <w:tr>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onsolas" w:cs="Consolas" w:eastAsia="Consolas" w:hAnsi="Consolas"/>
                <w:b w:val="false"/>
                <w:bCs w:val="false"/>
                <w:color w:val="2E4057"/>
                <w:sz w:val="20"/>
                <w:szCs w:val="20"/>
              </w:rPr>
              <w:t xml:space="preserve">theme.policing_security</w:t>
            </w:r>
          </w:p>
        </w:tc>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bCs/>
                <w:color w:val="000000"/>
                <w:sz w:val="22"/>
                <w:szCs w:val="22"/>
              </w:rPr>
              <w:t xml:space="preserve">Policing &amp; Security</w:t>
            </w:r>
          </w:p>
        </w:tc>
        <w:tc>
          <w:tcPr>
            <w:tcW w:type="dxa" w:w="39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val="false"/>
                <w:bCs w:val="false"/>
                <w:color w:val="000000"/>
                <w:sz w:val="22"/>
                <w:szCs w:val="22"/>
              </w:rPr>
              <w:t xml:space="preserve">Police deployment, security architecture, surveillance, anti-terror protocols.</w:t>
            </w:r>
          </w:p>
        </w:tc>
      </w:tr>
      <w:tr>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onsolas" w:cs="Consolas" w:eastAsia="Consolas" w:hAnsi="Consolas"/>
                <w:b w:val="false"/>
                <w:bCs w:val="false"/>
                <w:color w:val="2E4057"/>
                <w:sz w:val="20"/>
                <w:szCs w:val="20"/>
              </w:rPr>
              <w:t xml:space="preserve">theme.lost_found</w:t>
            </w:r>
          </w:p>
        </w:tc>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bCs/>
                <w:color w:val="000000"/>
                <w:sz w:val="22"/>
                <w:szCs w:val="22"/>
              </w:rPr>
              <w:t xml:space="preserve">Lost &amp; Found</w:t>
            </w:r>
          </w:p>
        </w:tc>
        <w:tc>
          <w:tcPr>
            <w:tcW w:type="dxa" w:w="39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val="false"/>
                <w:bCs w:val="false"/>
                <w:color w:val="000000"/>
                <w:sz w:val="22"/>
                <w:szCs w:val="22"/>
              </w:rPr>
              <w:t xml:space="preserve">Missing persons systems, especially for children and elderly; reunification.</w:t>
            </w:r>
          </w:p>
        </w:tc>
      </w:tr>
    </w:tbl>
    <w:p>
      <w:pPr>
        <w:spacing w:after="80" w:before="80"/>
      </w:pPr>
      <w:r>
        <w:t xml:space="preserve"/>
      </w:r>
    </w:p>
    <w:p>
      <w:pPr>
        <w:pStyle w:val="Heading4"/>
        <w:spacing w:after="90" w:before="180"/>
      </w:pPr>
      <w:r>
        <w:rPr>
          <w:rFonts w:ascii="Calibri" w:cs="Calibri" w:eastAsia="Calibri" w:hAnsi="Calibri"/>
          <w:b/>
          <w:bCs/>
          <w:color w:val="2E4057"/>
          <w:sz w:val="24"/>
          <w:szCs w:val="24"/>
        </w:rPr>
        <w:t xml:space="preserve">Cluster —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rPr>
          <w:tblHeader/>
        </w:trPr>
        <w:tc>
          <w:tcPr>
            <w:tcW w:type="dxa" w:w="3000"/>
            <w:tcBorders>
              <w:top w:val="single" w:color="D1D5DB" w:sz="4"/>
              <w:left w:val="single" w:color="D1D5DB" w:sz="4"/>
              <w:bottom w:val="single" w:color="D1D5DB" w:sz="4"/>
              <w:right w:val="single" w:color="D1D5DB" w:sz="4"/>
            </w:tcBorders>
            <w:shd w:fill="2E4057" w:val="clear"/>
            <w:tcMar>
              <w:top w:type="dxa" w:w="120"/>
              <w:left w:type="dxa" w:w="140"/>
              <w:bottom w:type="dxa" w:w="120"/>
              <w:right w:type="dxa" w:w="140"/>
            </w:tcMar>
            <w:vAlign w:val="center"/>
          </w:tcPr>
          <w:p>
            <w:pPr>
              <w:spacing w:after="0" w:before="0"/>
            </w:pPr>
            <w:r>
              <w:rPr>
                <w:rFonts w:ascii="Calibri" w:cs="Calibri" w:eastAsia="Calibri" w:hAnsi="Calibri"/>
                <w:b/>
                <w:bCs/>
                <w:color w:val="FFFFFF"/>
                <w:sz w:val="22"/>
                <w:szCs w:val="22"/>
              </w:rPr>
              <w:t xml:space="preserve">Tag ID</w:t>
            </w:r>
          </w:p>
        </w:tc>
        <w:tc>
          <w:tcPr>
            <w:tcW w:type="dxa" w:w="2400"/>
            <w:tcBorders>
              <w:top w:val="single" w:color="D1D5DB" w:sz="4"/>
              <w:left w:val="single" w:color="D1D5DB" w:sz="4"/>
              <w:bottom w:val="single" w:color="D1D5DB" w:sz="4"/>
              <w:right w:val="single" w:color="D1D5DB" w:sz="4"/>
            </w:tcBorders>
            <w:shd w:fill="2E4057" w:val="clear"/>
            <w:tcMar>
              <w:top w:type="dxa" w:w="120"/>
              <w:left w:type="dxa" w:w="140"/>
              <w:bottom w:type="dxa" w:w="120"/>
              <w:right w:type="dxa" w:w="140"/>
            </w:tcMar>
            <w:vAlign w:val="center"/>
          </w:tcPr>
          <w:p>
            <w:pPr>
              <w:spacing w:after="0" w:before="0"/>
            </w:pPr>
            <w:r>
              <w:rPr>
                <w:rFonts w:ascii="Calibri" w:cs="Calibri" w:eastAsia="Calibri" w:hAnsi="Calibri"/>
                <w:b/>
                <w:bCs/>
                <w:color w:val="FFFFFF"/>
                <w:sz w:val="22"/>
                <w:szCs w:val="22"/>
              </w:rPr>
              <w:t xml:space="preserve">Display Name</w:t>
            </w:r>
          </w:p>
        </w:tc>
        <w:tc>
          <w:tcPr>
            <w:tcW w:type="dxa" w:w="3960"/>
            <w:tcBorders>
              <w:top w:val="single" w:color="D1D5DB" w:sz="4"/>
              <w:left w:val="single" w:color="D1D5DB" w:sz="4"/>
              <w:bottom w:val="single" w:color="D1D5DB" w:sz="4"/>
              <w:right w:val="single" w:color="D1D5DB" w:sz="4"/>
            </w:tcBorders>
            <w:shd w:fill="2E4057" w:val="clear"/>
            <w:tcMar>
              <w:top w:type="dxa" w:w="120"/>
              <w:left w:type="dxa" w:w="140"/>
              <w:bottom w:type="dxa" w:w="120"/>
              <w:right w:type="dxa" w:w="140"/>
            </w:tcMar>
            <w:vAlign w:val="center"/>
          </w:tcPr>
          <w:p>
            <w:pPr>
              <w:spacing w:after="0" w:before="0"/>
            </w:pPr>
            <w:r>
              <w:rPr>
                <w:rFonts w:ascii="Calibri" w:cs="Calibri" w:eastAsia="Calibri" w:hAnsi="Calibri"/>
                <w:b/>
                <w:bCs/>
                <w:color w:val="FFFFFF"/>
                <w:sz w:val="22"/>
                <w:szCs w:val="22"/>
              </w:rPr>
              <w:t xml:space="preserve">Definition</w:t>
            </w:r>
          </w:p>
        </w:tc>
      </w:tr>
      <w:tr>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onsolas" w:cs="Consolas" w:eastAsia="Consolas" w:hAnsi="Consolas"/>
                <w:b w:val="false"/>
                <w:bCs w:val="false"/>
                <w:color w:val="2E4057"/>
                <w:sz w:val="20"/>
                <w:szCs w:val="20"/>
              </w:rPr>
              <w:t xml:space="preserve">theme.river_health</w:t>
            </w:r>
          </w:p>
        </w:tc>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bCs/>
                <w:color w:val="000000"/>
                <w:sz w:val="22"/>
                <w:szCs w:val="22"/>
              </w:rPr>
              <w:t xml:space="preserve">River Health</w:t>
            </w:r>
          </w:p>
        </w:tc>
        <w:tc>
          <w:tcPr>
            <w:tcW w:type="dxa" w:w="39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val="false"/>
                <w:bCs w:val="false"/>
                <w:color w:val="000000"/>
                <w:sz w:val="22"/>
                <w:szCs w:val="22"/>
              </w:rPr>
              <w:t xml:space="preserve">Godavari water quality, pollution, biological oxygen demand, post-event recovery.</w:t>
            </w:r>
          </w:p>
        </w:tc>
      </w:tr>
      <w:tr>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onsolas" w:cs="Consolas" w:eastAsia="Consolas" w:hAnsi="Consolas"/>
                <w:b w:val="false"/>
                <w:bCs w:val="false"/>
                <w:color w:val="2E4057"/>
                <w:sz w:val="20"/>
                <w:szCs w:val="20"/>
              </w:rPr>
              <w:t xml:space="preserve">theme.waste_management</w:t>
            </w:r>
          </w:p>
        </w:tc>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bCs/>
                <w:color w:val="000000"/>
                <w:sz w:val="22"/>
                <w:szCs w:val="22"/>
              </w:rPr>
              <w:t xml:space="preserve">Waste Management</w:t>
            </w:r>
          </w:p>
        </w:tc>
        <w:tc>
          <w:tcPr>
            <w:tcW w:type="dxa" w:w="39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val="false"/>
                <w:bCs w:val="false"/>
                <w:color w:val="000000"/>
                <w:sz w:val="22"/>
                <w:szCs w:val="22"/>
              </w:rPr>
              <w:t xml:space="preserve">Solid waste, plastic accumulation, recycling drives, daily clearance operations.</w:t>
            </w:r>
          </w:p>
        </w:tc>
      </w:tr>
      <w:tr>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onsolas" w:cs="Consolas" w:eastAsia="Consolas" w:hAnsi="Consolas"/>
                <w:b w:val="false"/>
                <w:bCs w:val="false"/>
                <w:color w:val="2E4057"/>
                <w:sz w:val="20"/>
                <w:szCs w:val="20"/>
              </w:rPr>
              <w:t xml:space="preserve">theme.air_climate</w:t>
            </w:r>
          </w:p>
        </w:tc>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bCs/>
                <w:color w:val="000000"/>
                <w:sz w:val="22"/>
                <w:szCs w:val="22"/>
              </w:rPr>
              <w:t xml:space="preserve">Air &amp; Climate</w:t>
            </w:r>
          </w:p>
        </w:tc>
        <w:tc>
          <w:tcPr>
            <w:tcW w:type="dxa" w:w="39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val="false"/>
                <w:bCs w:val="false"/>
                <w:color w:val="000000"/>
                <w:sz w:val="22"/>
                <w:szCs w:val="22"/>
              </w:rPr>
              <w:t xml:space="preserve">Air quality, extreme weather affecting Kumbh, climate-driven scheduling concerns.</w:t>
            </w:r>
          </w:p>
        </w:tc>
      </w:tr>
    </w:tbl>
    <w:p>
      <w:pPr>
        <w:spacing w:after="80" w:before="80"/>
      </w:pPr>
      <w:r>
        <w:t xml:space="preserve"/>
      </w:r>
    </w:p>
    <w:p>
      <w:pPr>
        <w:pStyle w:val="Heading4"/>
        <w:spacing w:after="90" w:before="180"/>
      </w:pPr>
      <w:r>
        <w:rPr>
          <w:rFonts w:ascii="Calibri" w:cs="Calibri" w:eastAsia="Calibri" w:hAnsi="Calibri"/>
          <w:b/>
          <w:bCs/>
          <w:color w:val="2E4057"/>
          <w:sz w:val="24"/>
          <w:szCs w:val="24"/>
        </w:rPr>
        <w:t xml:space="preserve">Cluster — Spiritual &amp; Cultural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rPr>
          <w:tblHeader/>
        </w:trPr>
        <w:tc>
          <w:tcPr>
            <w:tcW w:type="dxa" w:w="3000"/>
            <w:tcBorders>
              <w:top w:val="single" w:color="D1D5DB" w:sz="4"/>
              <w:left w:val="single" w:color="D1D5DB" w:sz="4"/>
              <w:bottom w:val="single" w:color="D1D5DB" w:sz="4"/>
              <w:right w:val="single" w:color="D1D5DB" w:sz="4"/>
            </w:tcBorders>
            <w:shd w:fill="2E4057" w:val="clear"/>
            <w:tcMar>
              <w:top w:type="dxa" w:w="120"/>
              <w:left w:type="dxa" w:w="140"/>
              <w:bottom w:type="dxa" w:w="120"/>
              <w:right w:type="dxa" w:w="140"/>
            </w:tcMar>
            <w:vAlign w:val="center"/>
          </w:tcPr>
          <w:p>
            <w:pPr>
              <w:spacing w:after="0" w:before="0"/>
            </w:pPr>
            <w:r>
              <w:rPr>
                <w:rFonts w:ascii="Calibri" w:cs="Calibri" w:eastAsia="Calibri" w:hAnsi="Calibri"/>
                <w:b/>
                <w:bCs/>
                <w:color w:val="FFFFFF"/>
                <w:sz w:val="22"/>
                <w:szCs w:val="22"/>
              </w:rPr>
              <w:t xml:space="preserve">Tag ID</w:t>
            </w:r>
          </w:p>
        </w:tc>
        <w:tc>
          <w:tcPr>
            <w:tcW w:type="dxa" w:w="2400"/>
            <w:tcBorders>
              <w:top w:val="single" w:color="D1D5DB" w:sz="4"/>
              <w:left w:val="single" w:color="D1D5DB" w:sz="4"/>
              <w:bottom w:val="single" w:color="D1D5DB" w:sz="4"/>
              <w:right w:val="single" w:color="D1D5DB" w:sz="4"/>
            </w:tcBorders>
            <w:shd w:fill="2E4057" w:val="clear"/>
            <w:tcMar>
              <w:top w:type="dxa" w:w="120"/>
              <w:left w:type="dxa" w:w="140"/>
              <w:bottom w:type="dxa" w:w="120"/>
              <w:right w:type="dxa" w:w="140"/>
            </w:tcMar>
            <w:vAlign w:val="center"/>
          </w:tcPr>
          <w:p>
            <w:pPr>
              <w:spacing w:after="0" w:before="0"/>
            </w:pPr>
            <w:r>
              <w:rPr>
                <w:rFonts w:ascii="Calibri" w:cs="Calibri" w:eastAsia="Calibri" w:hAnsi="Calibri"/>
                <w:b/>
                <w:bCs/>
                <w:color w:val="FFFFFF"/>
                <w:sz w:val="22"/>
                <w:szCs w:val="22"/>
              </w:rPr>
              <w:t xml:space="preserve">Display Name</w:t>
            </w:r>
          </w:p>
        </w:tc>
        <w:tc>
          <w:tcPr>
            <w:tcW w:type="dxa" w:w="3960"/>
            <w:tcBorders>
              <w:top w:val="single" w:color="D1D5DB" w:sz="4"/>
              <w:left w:val="single" w:color="D1D5DB" w:sz="4"/>
              <w:bottom w:val="single" w:color="D1D5DB" w:sz="4"/>
              <w:right w:val="single" w:color="D1D5DB" w:sz="4"/>
            </w:tcBorders>
            <w:shd w:fill="2E4057" w:val="clear"/>
            <w:tcMar>
              <w:top w:type="dxa" w:w="120"/>
              <w:left w:type="dxa" w:w="140"/>
              <w:bottom w:type="dxa" w:w="120"/>
              <w:right w:type="dxa" w:w="140"/>
            </w:tcMar>
            <w:vAlign w:val="center"/>
          </w:tcPr>
          <w:p>
            <w:pPr>
              <w:spacing w:after="0" w:before="0"/>
            </w:pPr>
            <w:r>
              <w:rPr>
                <w:rFonts w:ascii="Calibri" w:cs="Calibri" w:eastAsia="Calibri" w:hAnsi="Calibri"/>
                <w:b/>
                <w:bCs/>
                <w:color w:val="FFFFFF"/>
                <w:sz w:val="22"/>
                <w:szCs w:val="22"/>
              </w:rPr>
              <w:t xml:space="preserve">Definition</w:t>
            </w:r>
          </w:p>
        </w:tc>
      </w:tr>
      <w:tr>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onsolas" w:cs="Consolas" w:eastAsia="Consolas" w:hAnsi="Consolas"/>
                <w:b w:val="false"/>
                <w:bCs w:val="false"/>
                <w:color w:val="2E4057"/>
                <w:sz w:val="20"/>
                <w:szCs w:val="20"/>
              </w:rPr>
              <w:t xml:space="preserve">theme.shahi_snan</w:t>
            </w:r>
          </w:p>
        </w:tc>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bCs/>
                <w:color w:val="000000"/>
                <w:sz w:val="22"/>
                <w:szCs w:val="22"/>
              </w:rPr>
              <w:t xml:space="preserve">Shahi Snan</w:t>
            </w:r>
          </w:p>
        </w:tc>
        <w:tc>
          <w:tcPr>
            <w:tcW w:type="dxa" w:w="39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val="false"/>
                <w:bCs w:val="false"/>
                <w:color w:val="000000"/>
                <w:sz w:val="22"/>
                <w:szCs w:val="22"/>
              </w:rPr>
              <w:t xml:space="preserve">Royal bath events, akhada procession order, ritual schedule of bathing days.</w:t>
            </w:r>
          </w:p>
        </w:tc>
      </w:tr>
      <w:tr>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onsolas" w:cs="Consolas" w:eastAsia="Consolas" w:hAnsi="Consolas"/>
                <w:b w:val="false"/>
                <w:bCs w:val="false"/>
                <w:color w:val="2E4057"/>
                <w:sz w:val="20"/>
                <w:szCs w:val="20"/>
              </w:rPr>
              <w:t xml:space="preserve">theme.akhada_activity</w:t>
            </w:r>
          </w:p>
        </w:tc>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bCs/>
                <w:color w:val="000000"/>
                <w:sz w:val="22"/>
                <w:szCs w:val="22"/>
              </w:rPr>
              <w:t xml:space="preserve">Akhada Activity</w:t>
            </w:r>
          </w:p>
        </w:tc>
        <w:tc>
          <w:tcPr>
            <w:tcW w:type="dxa" w:w="39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val="false"/>
                <w:bCs w:val="false"/>
                <w:color w:val="000000"/>
                <w:sz w:val="22"/>
                <w:szCs w:val="22"/>
              </w:rPr>
              <w:t xml:space="preserve">Akhada operations, disputes, leadership, finances, the 13 traditional akhadas.</w:t>
            </w:r>
          </w:p>
        </w:tc>
      </w:tr>
      <w:tr>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onsolas" w:cs="Consolas" w:eastAsia="Consolas" w:hAnsi="Consolas"/>
                <w:b w:val="false"/>
                <w:bCs w:val="false"/>
                <w:color w:val="2E4057"/>
                <w:sz w:val="20"/>
                <w:szCs w:val="20"/>
              </w:rPr>
              <w:t xml:space="preserve">theme.rituals_ceremonies</w:t>
            </w:r>
          </w:p>
        </w:tc>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bCs/>
                <w:color w:val="000000"/>
                <w:sz w:val="22"/>
                <w:szCs w:val="22"/>
              </w:rPr>
              <w:t xml:space="preserve">Rituals &amp; Ceremonies</w:t>
            </w:r>
          </w:p>
        </w:tc>
        <w:tc>
          <w:tcPr>
            <w:tcW w:type="dxa" w:w="39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val="false"/>
                <w:bCs w:val="false"/>
                <w:color w:val="000000"/>
                <w:sz w:val="22"/>
                <w:szCs w:val="22"/>
              </w:rPr>
              <w:t xml:space="preserve">Daily aartis, pujas, kalpvas, pravachans — the granular calendar of devotion.</w:t>
            </w:r>
          </w:p>
        </w:tc>
      </w:tr>
      <w:tr>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onsolas" w:cs="Consolas" w:eastAsia="Consolas" w:hAnsi="Consolas"/>
                <w:b w:val="false"/>
                <w:bCs w:val="false"/>
                <w:color w:val="2E4057"/>
                <w:sz w:val="20"/>
                <w:szCs w:val="20"/>
              </w:rPr>
              <w:t xml:space="preserve">theme.heritage_culture</w:t>
            </w:r>
          </w:p>
        </w:tc>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bCs/>
                <w:color w:val="000000"/>
                <w:sz w:val="22"/>
                <w:szCs w:val="22"/>
              </w:rPr>
              <w:t xml:space="preserve">Heritage &amp; Cultural Programs</w:t>
            </w:r>
          </w:p>
        </w:tc>
        <w:tc>
          <w:tcPr>
            <w:tcW w:type="dxa" w:w="39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val="false"/>
                <w:bCs w:val="false"/>
                <w:color w:val="000000"/>
                <w:sz w:val="22"/>
                <w:szCs w:val="22"/>
              </w:rPr>
              <w:t xml:space="preserve">Art, music, performance, heritage preservation, cultural exhibitions at Kumbh.</w:t>
            </w:r>
          </w:p>
        </w:tc>
      </w:tr>
    </w:tbl>
    <w:p>
      <w:pPr>
        <w:spacing w:after="80" w:before="80"/>
      </w:pPr>
      <w:r>
        <w:t xml:space="preserve"/>
      </w:r>
    </w:p>
    <w:p>
      <w:pPr>
        <w:pStyle w:val="Heading4"/>
        <w:spacing w:after="90" w:before="180"/>
      </w:pPr>
      <w:r>
        <w:rPr>
          <w:rFonts w:ascii="Calibri" w:cs="Calibri" w:eastAsia="Calibri" w:hAnsi="Calibri"/>
          <w:b/>
          <w:bCs/>
          <w:color w:val="2E4057"/>
          <w:sz w:val="24"/>
          <w:szCs w:val="24"/>
        </w:rPr>
        <w:t xml:space="preserve">Cluster — Technology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rPr>
          <w:tblHeader/>
        </w:trPr>
        <w:tc>
          <w:tcPr>
            <w:tcW w:type="dxa" w:w="3000"/>
            <w:tcBorders>
              <w:top w:val="single" w:color="D1D5DB" w:sz="4"/>
              <w:left w:val="single" w:color="D1D5DB" w:sz="4"/>
              <w:bottom w:val="single" w:color="D1D5DB" w:sz="4"/>
              <w:right w:val="single" w:color="D1D5DB" w:sz="4"/>
            </w:tcBorders>
            <w:shd w:fill="2E4057" w:val="clear"/>
            <w:tcMar>
              <w:top w:type="dxa" w:w="120"/>
              <w:left w:type="dxa" w:w="140"/>
              <w:bottom w:type="dxa" w:w="120"/>
              <w:right w:type="dxa" w:w="140"/>
            </w:tcMar>
            <w:vAlign w:val="center"/>
          </w:tcPr>
          <w:p>
            <w:pPr>
              <w:spacing w:after="0" w:before="0"/>
            </w:pPr>
            <w:r>
              <w:rPr>
                <w:rFonts w:ascii="Calibri" w:cs="Calibri" w:eastAsia="Calibri" w:hAnsi="Calibri"/>
                <w:b/>
                <w:bCs/>
                <w:color w:val="FFFFFF"/>
                <w:sz w:val="22"/>
                <w:szCs w:val="22"/>
              </w:rPr>
              <w:t xml:space="preserve">Tag ID</w:t>
            </w:r>
          </w:p>
        </w:tc>
        <w:tc>
          <w:tcPr>
            <w:tcW w:type="dxa" w:w="2400"/>
            <w:tcBorders>
              <w:top w:val="single" w:color="D1D5DB" w:sz="4"/>
              <w:left w:val="single" w:color="D1D5DB" w:sz="4"/>
              <w:bottom w:val="single" w:color="D1D5DB" w:sz="4"/>
              <w:right w:val="single" w:color="D1D5DB" w:sz="4"/>
            </w:tcBorders>
            <w:shd w:fill="2E4057" w:val="clear"/>
            <w:tcMar>
              <w:top w:type="dxa" w:w="120"/>
              <w:left w:type="dxa" w:w="140"/>
              <w:bottom w:type="dxa" w:w="120"/>
              <w:right w:type="dxa" w:w="140"/>
            </w:tcMar>
            <w:vAlign w:val="center"/>
          </w:tcPr>
          <w:p>
            <w:pPr>
              <w:spacing w:after="0" w:before="0"/>
            </w:pPr>
            <w:r>
              <w:rPr>
                <w:rFonts w:ascii="Calibri" w:cs="Calibri" w:eastAsia="Calibri" w:hAnsi="Calibri"/>
                <w:b/>
                <w:bCs/>
                <w:color w:val="FFFFFF"/>
                <w:sz w:val="22"/>
                <w:szCs w:val="22"/>
              </w:rPr>
              <w:t xml:space="preserve">Display Name</w:t>
            </w:r>
          </w:p>
        </w:tc>
        <w:tc>
          <w:tcPr>
            <w:tcW w:type="dxa" w:w="3960"/>
            <w:tcBorders>
              <w:top w:val="single" w:color="D1D5DB" w:sz="4"/>
              <w:left w:val="single" w:color="D1D5DB" w:sz="4"/>
              <w:bottom w:val="single" w:color="D1D5DB" w:sz="4"/>
              <w:right w:val="single" w:color="D1D5DB" w:sz="4"/>
            </w:tcBorders>
            <w:shd w:fill="2E4057" w:val="clear"/>
            <w:tcMar>
              <w:top w:type="dxa" w:w="120"/>
              <w:left w:type="dxa" w:w="140"/>
              <w:bottom w:type="dxa" w:w="120"/>
              <w:right w:type="dxa" w:w="140"/>
            </w:tcMar>
            <w:vAlign w:val="center"/>
          </w:tcPr>
          <w:p>
            <w:pPr>
              <w:spacing w:after="0" w:before="0"/>
            </w:pPr>
            <w:r>
              <w:rPr>
                <w:rFonts w:ascii="Calibri" w:cs="Calibri" w:eastAsia="Calibri" w:hAnsi="Calibri"/>
                <w:b/>
                <w:bCs/>
                <w:color w:val="FFFFFF"/>
                <w:sz w:val="22"/>
                <w:szCs w:val="22"/>
              </w:rPr>
              <w:t xml:space="preserve">Definition</w:t>
            </w:r>
          </w:p>
        </w:tc>
      </w:tr>
      <w:tr>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onsolas" w:cs="Consolas" w:eastAsia="Consolas" w:hAnsi="Consolas"/>
                <w:b w:val="false"/>
                <w:bCs w:val="false"/>
                <w:color w:val="2E4057"/>
                <w:sz w:val="20"/>
                <w:szCs w:val="20"/>
              </w:rPr>
              <w:t xml:space="preserve">theme.apps_platforms</w:t>
            </w:r>
          </w:p>
        </w:tc>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bCs/>
                <w:color w:val="000000"/>
                <w:sz w:val="22"/>
                <w:szCs w:val="22"/>
              </w:rPr>
              <w:t xml:space="preserve">Apps &amp; Platforms</w:t>
            </w:r>
          </w:p>
        </w:tc>
        <w:tc>
          <w:tcPr>
            <w:tcW w:type="dxa" w:w="39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val="false"/>
                <w:bCs w:val="false"/>
                <w:color w:val="000000"/>
                <w:sz w:val="22"/>
                <w:szCs w:val="22"/>
              </w:rPr>
              <w:t xml:space="preserve">Pilgrim apps, akhada apps, booking platforms, government information systems.</w:t>
            </w:r>
          </w:p>
        </w:tc>
      </w:tr>
      <w:tr>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onsolas" w:cs="Consolas" w:eastAsia="Consolas" w:hAnsi="Consolas"/>
                <w:b w:val="false"/>
                <w:bCs w:val="false"/>
                <w:color w:val="2E4057"/>
                <w:sz w:val="20"/>
                <w:szCs w:val="20"/>
              </w:rPr>
              <w:t xml:space="preserve">theme.ai_analytics</w:t>
            </w:r>
          </w:p>
        </w:tc>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bCs/>
                <w:color w:val="000000"/>
                <w:sz w:val="22"/>
                <w:szCs w:val="22"/>
              </w:rPr>
              <w:t xml:space="preserve">AI &amp; Analytics</w:t>
            </w:r>
          </w:p>
        </w:tc>
        <w:tc>
          <w:tcPr>
            <w:tcW w:type="dxa" w:w="39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val="false"/>
                <w:bCs w:val="false"/>
                <w:color w:val="000000"/>
                <w:sz w:val="22"/>
                <w:szCs w:val="22"/>
              </w:rPr>
              <w:t xml:space="preserve">Computer vision, ML, NLP, predictive analytics deployed at Kumbh.</w:t>
            </w:r>
          </w:p>
        </w:tc>
      </w:tr>
      <w:tr>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onsolas" w:cs="Consolas" w:eastAsia="Consolas" w:hAnsi="Consolas"/>
                <w:b w:val="false"/>
                <w:bCs w:val="false"/>
                <w:color w:val="2E4057"/>
                <w:sz w:val="20"/>
                <w:szCs w:val="20"/>
              </w:rPr>
              <w:t xml:space="preserve">theme.sensors_drones</w:t>
            </w:r>
          </w:p>
        </w:tc>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bCs/>
                <w:color w:val="000000"/>
                <w:sz w:val="22"/>
                <w:szCs w:val="22"/>
              </w:rPr>
              <w:t xml:space="preserve">Sensors &amp; Drones</w:t>
            </w:r>
          </w:p>
        </w:tc>
        <w:tc>
          <w:tcPr>
            <w:tcW w:type="dxa" w:w="39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val="false"/>
                <w:bCs w:val="false"/>
                <w:color w:val="000000"/>
                <w:sz w:val="22"/>
                <w:szCs w:val="22"/>
              </w:rPr>
              <w:t xml:space="preserve">Aerial drones, IoT sensors, fixed cameras, hardware-led monitoring.</w:t>
            </w:r>
          </w:p>
        </w:tc>
      </w:tr>
    </w:tbl>
    <w:p>
      <w:pPr>
        <w:spacing w:after="80" w:before="80"/>
      </w:pPr>
      <w:r>
        <w:t xml:space="preserve"/>
      </w:r>
    </w:p>
    <w:p>
      <w:pPr>
        <w:pStyle w:val="Heading4"/>
        <w:spacing w:after="90" w:before="180"/>
      </w:pPr>
      <w:r>
        <w:rPr>
          <w:rFonts w:ascii="Calibri" w:cs="Calibri" w:eastAsia="Calibri" w:hAnsi="Calibri"/>
          <w:b/>
          <w:bCs/>
          <w:color w:val="2E4057"/>
          <w:sz w:val="24"/>
          <w:szCs w:val="24"/>
        </w:rPr>
        <w:t xml:space="preserve">Cluster — Governance &amp; Economy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rPr>
          <w:tblHeader/>
        </w:trPr>
        <w:tc>
          <w:tcPr>
            <w:tcW w:type="dxa" w:w="3000"/>
            <w:tcBorders>
              <w:top w:val="single" w:color="D1D5DB" w:sz="4"/>
              <w:left w:val="single" w:color="D1D5DB" w:sz="4"/>
              <w:bottom w:val="single" w:color="D1D5DB" w:sz="4"/>
              <w:right w:val="single" w:color="D1D5DB" w:sz="4"/>
            </w:tcBorders>
            <w:shd w:fill="2E4057" w:val="clear"/>
            <w:tcMar>
              <w:top w:type="dxa" w:w="120"/>
              <w:left w:type="dxa" w:w="140"/>
              <w:bottom w:type="dxa" w:w="120"/>
              <w:right w:type="dxa" w:w="140"/>
            </w:tcMar>
            <w:vAlign w:val="center"/>
          </w:tcPr>
          <w:p>
            <w:pPr>
              <w:spacing w:after="0" w:before="0"/>
            </w:pPr>
            <w:r>
              <w:rPr>
                <w:rFonts w:ascii="Calibri" w:cs="Calibri" w:eastAsia="Calibri" w:hAnsi="Calibri"/>
                <w:b/>
                <w:bCs/>
                <w:color w:val="FFFFFF"/>
                <w:sz w:val="22"/>
                <w:szCs w:val="22"/>
              </w:rPr>
              <w:t xml:space="preserve">Tag ID</w:t>
            </w:r>
          </w:p>
        </w:tc>
        <w:tc>
          <w:tcPr>
            <w:tcW w:type="dxa" w:w="2400"/>
            <w:tcBorders>
              <w:top w:val="single" w:color="D1D5DB" w:sz="4"/>
              <w:left w:val="single" w:color="D1D5DB" w:sz="4"/>
              <w:bottom w:val="single" w:color="D1D5DB" w:sz="4"/>
              <w:right w:val="single" w:color="D1D5DB" w:sz="4"/>
            </w:tcBorders>
            <w:shd w:fill="2E4057" w:val="clear"/>
            <w:tcMar>
              <w:top w:type="dxa" w:w="120"/>
              <w:left w:type="dxa" w:w="140"/>
              <w:bottom w:type="dxa" w:w="120"/>
              <w:right w:type="dxa" w:w="140"/>
            </w:tcMar>
            <w:vAlign w:val="center"/>
          </w:tcPr>
          <w:p>
            <w:pPr>
              <w:spacing w:after="0" w:before="0"/>
            </w:pPr>
            <w:r>
              <w:rPr>
                <w:rFonts w:ascii="Calibri" w:cs="Calibri" w:eastAsia="Calibri" w:hAnsi="Calibri"/>
                <w:b/>
                <w:bCs/>
                <w:color w:val="FFFFFF"/>
                <w:sz w:val="22"/>
                <w:szCs w:val="22"/>
              </w:rPr>
              <w:t xml:space="preserve">Display Name</w:t>
            </w:r>
          </w:p>
        </w:tc>
        <w:tc>
          <w:tcPr>
            <w:tcW w:type="dxa" w:w="3960"/>
            <w:tcBorders>
              <w:top w:val="single" w:color="D1D5DB" w:sz="4"/>
              <w:left w:val="single" w:color="D1D5DB" w:sz="4"/>
              <w:bottom w:val="single" w:color="D1D5DB" w:sz="4"/>
              <w:right w:val="single" w:color="D1D5DB" w:sz="4"/>
            </w:tcBorders>
            <w:shd w:fill="2E4057" w:val="clear"/>
            <w:tcMar>
              <w:top w:type="dxa" w:w="120"/>
              <w:left w:type="dxa" w:w="140"/>
              <w:bottom w:type="dxa" w:w="120"/>
              <w:right w:type="dxa" w:w="140"/>
            </w:tcMar>
            <w:vAlign w:val="center"/>
          </w:tcPr>
          <w:p>
            <w:pPr>
              <w:spacing w:after="0" w:before="0"/>
            </w:pPr>
            <w:r>
              <w:rPr>
                <w:rFonts w:ascii="Calibri" w:cs="Calibri" w:eastAsia="Calibri" w:hAnsi="Calibri"/>
                <w:b/>
                <w:bCs/>
                <w:color w:val="FFFFFF"/>
                <w:sz w:val="22"/>
                <w:szCs w:val="22"/>
              </w:rPr>
              <w:t xml:space="preserve">Definition</w:t>
            </w:r>
          </w:p>
        </w:tc>
      </w:tr>
      <w:tr>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onsolas" w:cs="Consolas" w:eastAsia="Consolas" w:hAnsi="Consolas"/>
                <w:b w:val="false"/>
                <w:bCs w:val="false"/>
                <w:color w:val="2E4057"/>
                <w:sz w:val="20"/>
                <w:szCs w:val="20"/>
              </w:rPr>
              <w:t xml:space="preserve">theme.policy_planning</w:t>
            </w:r>
          </w:p>
        </w:tc>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bCs/>
                <w:color w:val="000000"/>
                <w:sz w:val="22"/>
                <w:szCs w:val="22"/>
              </w:rPr>
              <w:t xml:space="preserve">Policy &amp; Planning</w:t>
            </w:r>
          </w:p>
        </w:tc>
        <w:tc>
          <w:tcPr>
            <w:tcW w:type="dxa" w:w="39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val="false"/>
                <w:bCs w:val="false"/>
                <w:color w:val="000000"/>
                <w:sz w:val="22"/>
                <w:szCs w:val="22"/>
              </w:rPr>
              <w:t xml:space="preserve">Government plans, decisions, inter-agency coordination, master planning.</w:t>
            </w:r>
          </w:p>
        </w:tc>
      </w:tr>
      <w:tr>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onsolas" w:cs="Consolas" w:eastAsia="Consolas" w:hAnsi="Consolas"/>
                <w:b w:val="false"/>
                <w:bCs w:val="false"/>
                <w:color w:val="2E4057"/>
                <w:sz w:val="20"/>
                <w:szCs w:val="20"/>
              </w:rPr>
              <w:t xml:space="preserve">theme.budget_spending</w:t>
            </w:r>
          </w:p>
        </w:tc>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bCs/>
                <w:color w:val="000000"/>
                <w:sz w:val="22"/>
                <w:szCs w:val="22"/>
              </w:rPr>
              <w:t xml:space="preserve">Budget &amp; Spending</w:t>
            </w:r>
          </w:p>
        </w:tc>
        <w:tc>
          <w:tcPr>
            <w:tcW w:type="dxa" w:w="39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val="false"/>
                <w:bCs w:val="false"/>
                <w:color w:val="000000"/>
                <w:sz w:val="22"/>
                <w:szCs w:val="22"/>
              </w:rPr>
              <w:t xml:space="preserve">Allocations, expenditure, accountability, audit findings, financial reports.</w:t>
            </w:r>
          </w:p>
        </w:tc>
      </w:tr>
      <w:tr>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onsolas" w:cs="Consolas" w:eastAsia="Consolas" w:hAnsi="Consolas"/>
                <w:b w:val="false"/>
                <w:bCs w:val="false"/>
                <w:color w:val="2E4057"/>
                <w:sz w:val="20"/>
                <w:szCs w:val="20"/>
              </w:rPr>
              <w:t xml:space="preserve">theme.economy_commerce</w:t>
            </w:r>
          </w:p>
        </w:tc>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bCs/>
                <w:color w:val="000000"/>
                <w:sz w:val="22"/>
                <w:szCs w:val="22"/>
              </w:rPr>
              <w:t xml:space="preserve">Economy &amp; Commerce</w:t>
            </w:r>
          </w:p>
        </w:tc>
        <w:tc>
          <w:tcPr>
            <w:tcW w:type="dxa" w:w="39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val="false"/>
                <w:bCs w:val="false"/>
                <w:color w:val="000000"/>
                <w:sz w:val="22"/>
                <w:szCs w:val="22"/>
              </w:rPr>
              <w:t xml:space="preserve">Tourism revenue, vendor activity, sponsorships, real estate, local economy.</w:t>
            </w:r>
          </w:p>
        </w:tc>
      </w:tr>
    </w:tbl>
    <w:p>
      <w:pPr>
        <w:spacing w:after="80" w:before="80"/>
      </w:pPr>
      <w:r>
        <w:t xml:space="preserve"/>
      </w:r>
    </w:p>
    <w:p>
      <w:pPr>
        <w:pStyle w:val="Heading4"/>
        <w:spacing w:after="90" w:before="180"/>
      </w:pPr>
      <w:r>
        <w:rPr>
          <w:rFonts w:ascii="Calibri" w:cs="Calibri" w:eastAsia="Calibri" w:hAnsi="Calibri"/>
          <w:b/>
          <w:bCs/>
          <w:color w:val="2E4057"/>
          <w:sz w:val="24"/>
          <w:szCs w:val="24"/>
        </w:rPr>
        <w:t xml:space="preserve">Cluster — Information &amp; Truth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rPr>
          <w:tblHeader/>
        </w:trPr>
        <w:tc>
          <w:tcPr>
            <w:tcW w:type="dxa" w:w="3000"/>
            <w:tcBorders>
              <w:top w:val="single" w:color="D1D5DB" w:sz="4"/>
              <w:left w:val="single" w:color="D1D5DB" w:sz="4"/>
              <w:bottom w:val="single" w:color="D1D5DB" w:sz="4"/>
              <w:right w:val="single" w:color="D1D5DB" w:sz="4"/>
            </w:tcBorders>
            <w:shd w:fill="2E4057" w:val="clear"/>
            <w:tcMar>
              <w:top w:type="dxa" w:w="120"/>
              <w:left w:type="dxa" w:w="140"/>
              <w:bottom w:type="dxa" w:w="120"/>
              <w:right w:type="dxa" w:w="140"/>
            </w:tcMar>
            <w:vAlign w:val="center"/>
          </w:tcPr>
          <w:p>
            <w:pPr>
              <w:spacing w:after="0" w:before="0"/>
            </w:pPr>
            <w:r>
              <w:rPr>
                <w:rFonts w:ascii="Calibri" w:cs="Calibri" w:eastAsia="Calibri" w:hAnsi="Calibri"/>
                <w:b/>
                <w:bCs/>
                <w:color w:val="FFFFFF"/>
                <w:sz w:val="22"/>
                <w:szCs w:val="22"/>
              </w:rPr>
              <w:t xml:space="preserve">Tag ID</w:t>
            </w:r>
          </w:p>
        </w:tc>
        <w:tc>
          <w:tcPr>
            <w:tcW w:type="dxa" w:w="2400"/>
            <w:tcBorders>
              <w:top w:val="single" w:color="D1D5DB" w:sz="4"/>
              <w:left w:val="single" w:color="D1D5DB" w:sz="4"/>
              <w:bottom w:val="single" w:color="D1D5DB" w:sz="4"/>
              <w:right w:val="single" w:color="D1D5DB" w:sz="4"/>
            </w:tcBorders>
            <w:shd w:fill="2E4057" w:val="clear"/>
            <w:tcMar>
              <w:top w:type="dxa" w:w="120"/>
              <w:left w:type="dxa" w:w="140"/>
              <w:bottom w:type="dxa" w:w="120"/>
              <w:right w:type="dxa" w:w="140"/>
            </w:tcMar>
            <w:vAlign w:val="center"/>
          </w:tcPr>
          <w:p>
            <w:pPr>
              <w:spacing w:after="0" w:before="0"/>
            </w:pPr>
            <w:r>
              <w:rPr>
                <w:rFonts w:ascii="Calibri" w:cs="Calibri" w:eastAsia="Calibri" w:hAnsi="Calibri"/>
                <w:b/>
                <w:bCs/>
                <w:color w:val="FFFFFF"/>
                <w:sz w:val="22"/>
                <w:szCs w:val="22"/>
              </w:rPr>
              <w:t xml:space="preserve">Display Name</w:t>
            </w:r>
          </w:p>
        </w:tc>
        <w:tc>
          <w:tcPr>
            <w:tcW w:type="dxa" w:w="3960"/>
            <w:tcBorders>
              <w:top w:val="single" w:color="D1D5DB" w:sz="4"/>
              <w:left w:val="single" w:color="D1D5DB" w:sz="4"/>
              <w:bottom w:val="single" w:color="D1D5DB" w:sz="4"/>
              <w:right w:val="single" w:color="D1D5DB" w:sz="4"/>
            </w:tcBorders>
            <w:shd w:fill="2E4057" w:val="clear"/>
            <w:tcMar>
              <w:top w:type="dxa" w:w="120"/>
              <w:left w:type="dxa" w:w="140"/>
              <w:bottom w:type="dxa" w:w="120"/>
              <w:right w:type="dxa" w:w="140"/>
            </w:tcMar>
            <w:vAlign w:val="center"/>
          </w:tcPr>
          <w:p>
            <w:pPr>
              <w:spacing w:after="0" w:before="0"/>
            </w:pPr>
            <w:r>
              <w:rPr>
                <w:rFonts w:ascii="Calibri" w:cs="Calibri" w:eastAsia="Calibri" w:hAnsi="Calibri"/>
                <w:b/>
                <w:bCs/>
                <w:color w:val="FFFFFF"/>
                <w:sz w:val="22"/>
                <w:szCs w:val="22"/>
              </w:rPr>
              <w:t xml:space="preserve">Definition</w:t>
            </w:r>
          </w:p>
        </w:tc>
      </w:tr>
      <w:tr>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onsolas" w:cs="Consolas" w:eastAsia="Consolas" w:hAnsi="Consolas"/>
                <w:b w:val="false"/>
                <w:bCs w:val="false"/>
                <w:color w:val="2E4057"/>
                <w:sz w:val="20"/>
                <w:szCs w:val="20"/>
              </w:rPr>
              <w:t xml:space="preserve">theme.rumors_misinfo</w:t>
            </w:r>
          </w:p>
        </w:tc>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bCs/>
                <w:color w:val="000000"/>
                <w:sz w:val="22"/>
                <w:szCs w:val="22"/>
              </w:rPr>
              <w:t xml:space="preserve">Rumors &amp; Misinformation</w:t>
            </w:r>
          </w:p>
        </w:tc>
        <w:tc>
          <w:tcPr>
            <w:tcW w:type="dxa" w:w="39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val="false"/>
                <w:bCs w:val="false"/>
                <w:color w:val="000000"/>
                <w:sz w:val="22"/>
                <w:szCs w:val="22"/>
              </w:rPr>
              <w:t xml:space="preserve">Documented false claims, recycled imagery, viral falsehoods, communal misinformation.</w:t>
            </w:r>
          </w:p>
        </w:tc>
      </w:tr>
      <w:tr>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onsolas" w:cs="Consolas" w:eastAsia="Consolas" w:hAnsi="Consolas"/>
                <w:b w:val="false"/>
                <w:bCs w:val="false"/>
                <w:color w:val="2E4057"/>
                <w:sz w:val="20"/>
                <w:szCs w:val="20"/>
              </w:rPr>
              <w:t xml:space="preserve">theme.fact_checks</w:t>
            </w:r>
          </w:p>
        </w:tc>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bCs/>
                <w:color w:val="000000"/>
                <w:sz w:val="22"/>
                <w:szCs w:val="22"/>
              </w:rPr>
              <w:t xml:space="preserve">Fact-Checks &amp; Corrections</w:t>
            </w:r>
          </w:p>
        </w:tc>
        <w:tc>
          <w:tcPr>
            <w:tcW w:type="dxa" w:w="39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val="false"/>
                <w:bCs w:val="false"/>
                <w:color w:val="000000"/>
                <w:sz w:val="22"/>
                <w:szCs w:val="22"/>
              </w:rPr>
              <w:t xml:space="preserve">Verified counter-information, official rebuttals, retractions, fact-checker output.</w:t>
            </w:r>
          </w:p>
        </w:tc>
      </w:tr>
    </w:tbl>
    <w:p>
      <w:pPr>
        <w:spacing w:after="80" w:before="80"/>
      </w:pPr>
      <w:r>
        <w:t xml:space="preserve"/>
      </w:r>
    </w:p>
    <w:p>
      <w:pPr>
        <w:pStyle w:val="Heading4"/>
        <w:spacing w:after="90" w:before="180"/>
      </w:pPr>
      <w:r>
        <w:rPr>
          <w:rFonts w:ascii="Calibri" w:cs="Calibri" w:eastAsia="Calibri" w:hAnsi="Calibri"/>
          <w:b/>
          <w:bCs/>
          <w:color w:val="2E4057"/>
          <w:sz w:val="24"/>
          <w:szCs w:val="24"/>
        </w:rPr>
        <w:t xml:space="preserve">Cluster — People &amp; Experience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rPr>
          <w:tblHeader/>
        </w:trPr>
        <w:tc>
          <w:tcPr>
            <w:tcW w:type="dxa" w:w="3000"/>
            <w:tcBorders>
              <w:top w:val="single" w:color="D1D5DB" w:sz="4"/>
              <w:left w:val="single" w:color="D1D5DB" w:sz="4"/>
              <w:bottom w:val="single" w:color="D1D5DB" w:sz="4"/>
              <w:right w:val="single" w:color="D1D5DB" w:sz="4"/>
            </w:tcBorders>
            <w:shd w:fill="2E4057" w:val="clear"/>
            <w:tcMar>
              <w:top w:type="dxa" w:w="120"/>
              <w:left w:type="dxa" w:w="140"/>
              <w:bottom w:type="dxa" w:w="120"/>
              <w:right w:type="dxa" w:w="140"/>
            </w:tcMar>
            <w:vAlign w:val="center"/>
          </w:tcPr>
          <w:p>
            <w:pPr>
              <w:spacing w:after="0" w:before="0"/>
            </w:pPr>
            <w:r>
              <w:rPr>
                <w:rFonts w:ascii="Calibri" w:cs="Calibri" w:eastAsia="Calibri" w:hAnsi="Calibri"/>
                <w:b/>
                <w:bCs/>
                <w:color w:val="FFFFFF"/>
                <w:sz w:val="22"/>
                <w:szCs w:val="22"/>
              </w:rPr>
              <w:t xml:space="preserve">Tag ID</w:t>
            </w:r>
          </w:p>
        </w:tc>
        <w:tc>
          <w:tcPr>
            <w:tcW w:type="dxa" w:w="2400"/>
            <w:tcBorders>
              <w:top w:val="single" w:color="D1D5DB" w:sz="4"/>
              <w:left w:val="single" w:color="D1D5DB" w:sz="4"/>
              <w:bottom w:val="single" w:color="D1D5DB" w:sz="4"/>
              <w:right w:val="single" w:color="D1D5DB" w:sz="4"/>
            </w:tcBorders>
            <w:shd w:fill="2E4057" w:val="clear"/>
            <w:tcMar>
              <w:top w:type="dxa" w:w="120"/>
              <w:left w:type="dxa" w:w="140"/>
              <w:bottom w:type="dxa" w:w="120"/>
              <w:right w:type="dxa" w:w="140"/>
            </w:tcMar>
            <w:vAlign w:val="center"/>
          </w:tcPr>
          <w:p>
            <w:pPr>
              <w:spacing w:after="0" w:before="0"/>
            </w:pPr>
            <w:r>
              <w:rPr>
                <w:rFonts w:ascii="Calibri" w:cs="Calibri" w:eastAsia="Calibri" w:hAnsi="Calibri"/>
                <w:b/>
                <w:bCs/>
                <w:color w:val="FFFFFF"/>
                <w:sz w:val="22"/>
                <w:szCs w:val="22"/>
              </w:rPr>
              <w:t xml:space="preserve">Display Name</w:t>
            </w:r>
          </w:p>
        </w:tc>
        <w:tc>
          <w:tcPr>
            <w:tcW w:type="dxa" w:w="3960"/>
            <w:tcBorders>
              <w:top w:val="single" w:color="D1D5DB" w:sz="4"/>
              <w:left w:val="single" w:color="D1D5DB" w:sz="4"/>
              <w:bottom w:val="single" w:color="D1D5DB" w:sz="4"/>
              <w:right w:val="single" w:color="D1D5DB" w:sz="4"/>
            </w:tcBorders>
            <w:shd w:fill="2E4057" w:val="clear"/>
            <w:tcMar>
              <w:top w:type="dxa" w:w="120"/>
              <w:left w:type="dxa" w:w="140"/>
              <w:bottom w:type="dxa" w:w="120"/>
              <w:right w:type="dxa" w:w="140"/>
            </w:tcMar>
            <w:vAlign w:val="center"/>
          </w:tcPr>
          <w:p>
            <w:pPr>
              <w:spacing w:after="0" w:before="0"/>
            </w:pPr>
            <w:r>
              <w:rPr>
                <w:rFonts w:ascii="Calibri" w:cs="Calibri" w:eastAsia="Calibri" w:hAnsi="Calibri"/>
                <w:b/>
                <w:bCs/>
                <w:color w:val="FFFFFF"/>
                <w:sz w:val="22"/>
                <w:szCs w:val="22"/>
              </w:rPr>
              <w:t xml:space="preserve">Definition</w:t>
            </w:r>
          </w:p>
        </w:tc>
      </w:tr>
      <w:tr>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onsolas" w:cs="Consolas" w:eastAsia="Consolas" w:hAnsi="Consolas"/>
                <w:b w:val="false"/>
                <w:bCs w:val="false"/>
                <w:color w:val="2E4057"/>
                <w:sz w:val="20"/>
                <w:szCs w:val="20"/>
              </w:rPr>
              <w:t xml:space="preserve">theme.pilgrim_experience</w:t>
            </w:r>
          </w:p>
        </w:tc>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bCs/>
                <w:color w:val="000000"/>
                <w:sz w:val="22"/>
                <w:szCs w:val="22"/>
              </w:rPr>
              <w:t xml:space="preserve">Pilgrim Experience</w:t>
            </w:r>
          </w:p>
        </w:tc>
        <w:tc>
          <w:tcPr>
            <w:tcW w:type="dxa" w:w="39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val="false"/>
                <w:bCs w:val="false"/>
                <w:color w:val="000000"/>
                <w:sz w:val="22"/>
                <w:szCs w:val="22"/>
              </w:rPr>
              <w:t xml:space="preserve">First-person accounts, demographic stories, accessibility, foreign visitors.</w:t>
            </w:r>
          </w:p>
        </w:tc>
      </w:tr>
      <w:tr>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onsolas" w:cs="Consolas" w:eastAsia="Consolas" w:hAnsi="Consolas"/>
                <w:b w:val="false"/>
                <w:bCs w:val="false"/>
                <w:color w:val="2E4057"/>
                <w:sz w:val="20"/>
                <w:szCs w:val="20"/>
              </w:rPr>
              <w:t xml:space="preserve">theme.volunteers_ngos</w:t>
            </w:r>
          </w:p>
        </w:tc>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bCs/>
                <w:color w:val="000000"/>
                <w:sz w:val="22"/>
                <w:szCs w:val="22"/>
              </w:rPr>
              <w:t xml:space="preserve">Volunteers &amp; NGOs</w:t>
            </w:r>
          </w:p>
        </w:tc>
        <w:tc>
          <w:tcPr>
            <w:tcW w:type="dxa" w:w="39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val="false"/>
                <w:bCs w:val="false"/>
                <w:color w:val="000000"/>
                <w:sz w:val="22"/>
                <w:szCs w:val="22"/>
              </w:rPr>
              <w:t xml:space="preserve">Civil society activity, volunteer coordination, NGO operations, mutual aid.</w:t>
            </w:r>
          </w:p>
        </w:tc>
      </w:tr>
    </w:tbl>
    <w:p>
      <w:pPr>
        <w:spacing w:after="80" w:before="80"/>
      </w:pPr>
      <w:r>
        <w:t xml:space="preserve"/>
      </w:r>
    </w:p>
    <w:p>
      <w:pPr>
        <w:pStyle w:val="Heading3"/>
        <w:spacing w:after="110" w:before="220"/>
      </w:pPr>
      <w:r>
        <w:rPr>
          <w:rFonts w:ascii="Calibri" w:cs="Calibri" w:eastAsia="Calibri" w:hAnsi="Calibri"/>
          <w:b/>
          <w:bCs/>
          <w:color w:val="C8553D"/>
          <w:sz w:val="26"/>
          <w:szCs w:val="26"/>
        </w:rPr>
        <w:t xml:space="preserve">Themes in action — example articles</w:t>
      </w:r>
    </w:p>
    <w:p>
      <w:pPr>
        <w:spacing w:after="60" w:before="60" w:line="320"/>
      </w:pPr>
      <w:r>
        <w:rPr>
          <w:rFonts w:ascii="Calibri" w:cs="Calibri" w:eastAsia="Calibri" w:hAnsi="Calibri"/>
          <w:b/>
          <w:bCs/>
          <w:sz w:val="22"/>
          <w:szCs w:val="22"/>
        </w:rPr>
        <w:t xml:space="preserve">Example A. </w:t>
      </w:r>
      <w:r>
        <w:rPr>
          <w:rFonts w:ascii="Calibri" w:cs="Calibri" w:eastAsia="Calibri" w:hAnsi="Calibri"/>
          <w:i/>
          <w:iCs/>
          <w:sz w:val="22"/>
          <w:szCs w:val="22"/>
        </w:rPr>
        <w:t xml:space="preserve">"FSSAI seizes 200kg adulterated khoa from Kumbh-area dairies." </w:t>
      </w:r>
      <w:r>
        <w:rPr>
          <w:rFonts w:ascii="Calibri" w:cs="Calibri" w:eastAsia="Calibri" w:hAnsi="Calibri"/>
          <w:sz w:val="22"/>
          <w:szCs w:val="22"/>
        </w:rPr>
        <w:t xml:space="preserve"> Theme tags: </w:t>
      </w:r>
      <w:r>
        <w:rPr>
          <w:rFonts w:ascii="Consolas" w:cs="Consolas" w:eastAsia="Consolas" w:hAnsi="Consolas"/>
          <w:b w:val="false"/>
          <w:bCs w:val="false"/>
          <w:color w:val="2E4057"/>
          <w:sz w:val="20"/>
          <w:szCs w:val="20"/>
        </w:rPr>
        <w:t xml:space="preserve">theme.food_safety</w:t>
      </w:r>
      <w:r>
        <w:rPr>
          <w:rFonts w:ascii="Calibri" w:cs="Calibri" w:eastAsia="Calibri" w:hAnsi="Calibri"/>
          <w:sz w:val="22"/>
          <w:szCs w:val="22"/>
        </w:rPr>
        <w:t xml:space="preserve">. The article is squarely about food safety. It does not need additional themes — there is no policy planning angle, no infrastructure angle, no AI angle. Single-theme is correct here.</w:t>
      </w:r>
    </w:p>
    <w:p>
      <w:pPr>
        <w:spacing w:after="60" w:before="60" w:line="320"/>
      </w:pPr>
      <w:r>
        <w:rPr>
          <w:rFonts w:ascii="Calibri" w:cs="Calibri" w:eastAsia="Calibri" w:hAnsi="Calibri"/>
          <w:b/>
          <w:bCs/>
          <w:sz w:val="22"/>
          <w:szCs w:val="22"/>
        </w:rPr>
        <w:t xml:space="preserve">Example B. </w:t>
      </w:r>
      <w:r>
        <w:rPr>
          <w:rFonts w:ascii="Calibri" w:cs="Calibri" w:eastAsia="Calibri" w:hAnsi="Calibri"/>
          <w:i/>
          <w:iCs/>
          <w:sz w:val="22"/>
          <w:szCs w:val="22"/>
        </w:rPr>
        <w:t xml:space="preserve">"Nashik Civil Hospital adds 200 beds, 6 trauma units; ₹120 crore approved by Centre." </w:t>
      </w:r>
      <w:r>
        <w:rPr>
          <w:rFonts w:ascii="Calibri" w:cs="Calibri" w:eastAsia="Calibri" w:hAnsi="Calibri"/>
          <w:sz w:val="22"/>
          <w:szCs w:val="22"/>
        </w:rPr>
        <w:t xml:space="preserve"> Theme tags: </w:t>
      </w:r>
      <w:r>
        <w:rPr>
          <w:rFonts w:ascii="Consolas" w:cs="Consolas" w:eastAsia="Consolas" w:hAnsi="Consolas"/>
          <w:b w:val="false"/>
          <w:bCs w:val="false"/>
          <w:color w:val="2E4057"/>
          <w:sz w:val="20"/>
          <w:szCs w:val="20"/>
        </w:rPr>
        <w:t xml:space="preserve">theme.medical_response</w:t>
      </w:r>
      <w:r>
        <w:rPr>
          <w:rFonts w:ascii="Calibri" w:cs="Calibri" w:eastAsia="Calibri" w:hAnsi="Calibri"/>
          <w:sz w:val="22"/>
          <w:szCs w:val="22"/>
        </w:rPr>
        <w:t xml:space="preserve"> and </w:t>
      </w:r>
      <w:r>
        <w:rPr>
          <w:rFonts w:ascii="Consolas" w:cs="Consolas" w:eastAsia="Consolas" w:hAnsi="Consolas"/>
          <w:b w:val="false"/>
          <w:bCs w:val="false"/>
          <w:color w:val="2E4057"/>
          <w:sz w:val="20"/>
          <w:szCs w:val="20"/>
        </w:rPr>
        <w:t xml:space="preserve">theme.budget_spending</w:t>
      </w:r>
      <w:r>
        <w:rPr>
          <w:rFonts w:ascii="Calibri" w:cs="Calibri" w:eastAsia="Calibri" w:hAnsi="Calibri"/>
          <w:sz w:val="22"/>
          <w:szCs w:val="22"/>
        </w:rPr>
        <w:t xml:space="preserve">. The medical capacity expansion is the headline topic. The budget allocation is a real second topic, not just background — researchers studying central-to-state health funding patterns will want to find this article via the budget filter, not just the medical filter.</w:t>
      </w:r>
    </w:p>
    <w:p>
      <w:pPr>
        <w:spacing w:after="60" w:before="60" w:line="320"/>
      </w:pPr>
      <w:r>
        <w:rPr>
          <w:rFonts w:ascii="Calibri" w:cs="Calibri" w:eastAsia="Calibri" w:hAnsi="Calibri"/>
          <w:b/>
          <w:bCs/>
          <w:sz w:val="22"/>
          <w:szCs w:val="22"/>
        </w:rPr>
        <w:t xml:space="preserve">Example C. </w:t>
      </w:r>
      <w:r>
        <w:rPr>
          <w:rFonts w:ascii="Calibri" w:cs="Calibri" w:eastAsia="Calibri" w:hAnsi="Calibri"/>
          <w:i/>
          <w:iCs/>
          <w:sz w:val="22"/>
          <w:szCs w:val="22"/>
        </w:rPr>
        <w:t xml:space="preserve">"IIT Bombay deploys YOLO-based crowd-density detection at 14 Nashik ghats." </w:t>
      </w:r>
      <w:r>
        <w:rPr>
          <w:rFonts w:ascii="Calibri" w:cs="Calibri" w:eastAsia="Calibri" w:hAnsi="Calibri"/>
          <w:sz w:val="22"/>
          <w:szCs w:val="22"/>
        </w:rPr>
        <w:t xml:space="preserve"> Theme tags: </w:t>
      </w:r>
      <w:r>
        <w:rPr>
          <w:rFonts w:ascii="Consolas" w:cs="Consolas" w:eastAsia="Consolas" w:hAnsi="Consolas"/>
          <w:b w:val="false"/>
          <w:bCs w:val="false"/>
          <w:color w:val="2E4057"/>
          <w:sz w:val="20"/>
          <w:szCs w:val="20"/>
        </w:rPr>
        <w:t xml:space="preserve">theme.crowd_management</w:t>
      </w:r>
      <w:r>
        <w:rPr>
          <w:rFonts w:ascii="Calibri" w:cs="Calibri" w:eastAsia="Calibri" w:hAnsi="Calibri"/>
          <w:sz w:val="22"/>
          <w:szCs w:val="22"/>
        </w:rPr>
        <w:t xml:space="preserve">, </w:t>
      </w:r>
      <w:r>
        <w:rPr>
          <w:rFonts w:ascii="Consolas" w:cs="Consolas" w:eastAsia="Consolas" w:hAnsi="Consolas"/>
          <w:b w:val="false"/>
          <w:bCs w:val="false"/>
          <w:color w:val="2E4057"/>
          <w:sz w:val="20"/>
          <w:szCs w:val="20"/>
        </w:rPr>
        <w:t xml:space="preserve">theme.ai_analytics</w:t>
      </w:r>
      <w:r>
        <w:rPr>
          <w:rFonts w:ascii="Calibri" w:cs="Calibri" w:eastAsia="Calibri" w:hAnsi="Calibri"/>
          <w:sz w:val="22"/>
          <w:szCs w:val="22"/>
        </w:rPr>
        <w:t xml:space="preserve">, and </w:t>
      </w:r>
      <w:r>
        <w:rPr>
          <w:rFonts w:ascii="Consolas" w:cs="Consolas" w:eastAsia="Consolas" w:hAnsi="Consolas"/>
          <w:b w:val="false"/>
          <w:bCs w:val="false"/>
          <w:color w:val="2E4057"/>
          <w:sz w:val="20"/>
          <w:szCs w:val="20"/>
        </w:rPr>
        <w:t xml:space="preserve">theme.sensors_drones</w:t>
      </w:r>
      <w:r>
        <w:rPr>
          <w:rFonts w:ascii="Calibri" w:cs="Calibri" w:eastAsia="Calibri" w:hAnsi="Calibri"/>
          <w:sz w:val="22"/>
          <w:szCs w:val="22"/>
        </w:rPr>
        <w:t xml:space="preserve">. The article spans three themes because the system serves a crowd-management purpose, uses AI methodology, and runs on sensor hardware. A researcher studying any one of these three angles will surface this article.</w:t>
      </w:r>
    </w:p>
    <w:p>
      <w:pPr>
        <w:spacing w:after="60" w:before="60" w:line="320"/>
      </w:pPr>
      <w:r>
        <w:rPr>
          <w:rFonts w:ascii="Calibri" w:cs="Calibri" w:eastAsia="Calibri" w:hAnsi="Calibri"/>
          <w:b/>
          <w:bCs/>
          <w:sz w:val="22"/>
          <w:szCs w:val="22"/>
        </w:rPr>
        <w:t xml:space="preserve">Example D. </w:t>
      </w:r>
      <w:r>
        <w:rPr>
          <w:rFonts w:ascii="Calibri" w:cs="Calibri" w:eastAsia="Calibri" w:hAnsi="Calibri"/>
          <w:i/>
          <w:iCs/>
          <w:sz w:val="22"/>
          <w:szCs w:val="22"/>
        </w:rPr>
        <w:t xml:space="preserve">"MPCB report: Godavari BOD levels exceeded safe limits 18 days during 2015 Kumbh." </w:t>
      </w:r>
      <w:r>
        <w:rPr>
          <w:rFonts w:ascii="Calibri" w:cs="Calibri" w:eastAsia="Calibri" w:hAnsi="Calibri"/>
          <w:sz w:val="22"/>
          <w:szCs w:val="22"/>
        </w:rPr>
        <w:t xml:space="preserve"> Theme tags: </w:t>
      </w:r>
      <w:r>
        <w:rPr>
          <w:rFonts w:ascii="Consolas" w:cs="Consolas" w:eastAsia="Consolas" w:hAnsi="Consolas"/>
          <w:b w:val="false"/>
          <w:bCs w:val="false"/>
          <w:color w:val="2E4057"/>
          <w:sz w:val="20"/>
          <w:szCs w:val="20"/>
        </w:rPr>
        <w:t xml:space="preserve">theme.river_health</w:t>
      </w:r>
      <w:r>
        <w:rPr>
          <w:rFonts w:ascii="Calibri" w:cs="Calibri" w:eastAsia="Calibri" w:hAnsi="Calibri"/>
          <w:sz w:val="22"/>
          <w:szCs w:val="22"/>
        </w:rPr>
        <w:t xml:space="preserve"> and </w:t>
      </w:r>
      <w:r>
        <w:rPr>
          <w:rFonts w:ascii="Consolas" w:cs="Consolas" w:eastAsia="Consolas" w:hAnsi="Consolas"/>
          <w:b w:val="false"/>
          <w:bCs w:val="false"/>
          <w:color w:val="2E4057"/>
          <w:sz w:val="20"/>
          <w:szCs w:val="20"/>
        </w:rPr>
        <w:t xml:space="preserve">theme.policy_planning</w:t>
      </w:r>
      <w:r>
        <w:rPr>
          <w:rFonts w:ascii="Calibri" w:cs="Calibri" w:eastAsia="Calibri" w:hAnsi="Calibri"/>
          <w:sz w:val="22"/>
          <w:szCs w:val="22"/>
        </w:rPr>
        <w:t xml:space="preserve">. The headline finding is environmental, but the article is a policy-relevant retrospective from a regulatory body — both themes apply.</w:t>
      </w:r>
    </w:p>
    <w:p>
      <w:r>
        <w:br w:type="page"/>
      </w:r>
    </w:p>
    <w:p>
      <w:pPr>
        <w:pStyle w:val="Heading1"/>
        <w:spacing w:after="180" w:before="360"/>
      </w:pPr>
      <w:r>
        <w:rPr>
          <w:rFonts w:ascii="Calibri" w:cs="Calibri" w:eastAsia="Calibri" w:hAnsi="Calibri"/>
          <w:b/>
          <w:bCs/>
          <w:color w:val="2E4057"/>
          <w:sz w:val="36"/>
          <w:szCs w:val="36"/>
        </w:rPr>
        <w:t xml:space="preserve">4. Axis 2 — Event Type</w:t>
      </w:r>
    </w:p>
    <w:p>
      <w:pPr>
        <w:spacing w:after="60" w:before="60" w:line="320"/>
      </w:pPr>
      <w:r>
        <w:rPr>
          <w:rFonts w:ascii="Calibri" w:cs="Calibri" w:eastAsia="Calibri" w:hAnsi="Calibri"/>
          <w:sz w:val="22"/>
          <w:szCs w:val="22"/>
        </w:rPr>
        <w:t xml:space="preserve">Event Type answers: what kind of statement is this piece of content making? Unlike themes, event type is mutually exclusive — every item gets exactly one. If an article is genuinely both an announcement and an analysis, the classifier picks the dominant register.</w:t>
      </w:r>
    </w:p>
    <w:p>
      <w:pPr>
        <w:pStyle w:val="Heading3"/>
        <w:spacing w:after="110" w:before="220"/>
      </w:pPr>
      <w:r>
        <w:rPr>
          <w:rFonts w:ascii="Calibri" w:cs="Calibri" w:eastAsia="Calibri" w:hAnsi="Calibri"/>
          <w:b/>
          <w:bCs/>
          <w:color w:val="C8553D"/>
          <w:sz w:val="26"/>
          <w:szCs w:val="26"/>
        </w:rPr>
        <w:t xml:space="preserve">Why this axis matters</w:t>
      </w:r>
    </w:p>
    <w:p>
      <w:pPr>
        <w:spacing w:after="60" w:before="60" w:line="320"/>
      </w:pPr>
      <w:r>
        <w:rPr>
          <w:rFonts w:ascii="Calibri" w:cs="Calibri" w:eastAsia="Calibri" w:hAnsi="Calibri"/>
          <w:sz w:val="22"/>
          <w:szCs w:val="22"/>
        </w:rPr>
        <w:t xml:space="preserve">Theme tells you the topic. Event type tells you the kind of statement being made about that topic. A researcher studying river health does not just want all river-health content. They want to separate announcements (planning) from data releases (facts) from analysis (opinion) from incidents (events). Event type is also central to misinfo scoring: an unverified incident claim, with no matching official communication or data release within 24 hours, is one of the strongest rumor signals you can detect.</w:t>
      </w:r>
    </w:p>
    <w:p>
      <w:pPr>
        <w:pStyle w:val="Heading3"/>
        <w:spacing w:after="110" w:before="220"/>
      </w:pPr>
      <w:r>
        <w:rPr>
          <w:rFonts w:ascii="Calibri" w:cs="Calibri" w:eastAsia="Calibri" w:hAnsi="Calibri"/>
          <w:b/>
          <w:bCs/>
          <w:color w:val="C8553D"/>
          <w:sz w:val="26"/>
          <w:szCs w:val="26"/>
        </w:rPr>
        <w:t xml:space="preserve">The 12 event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rPr>
          <w:tblHeader/>
        </w:trPr>
        <w:tc>
          <w:tcPr>
            <w:tcW w:type="dxa" w:w="3000"/>
            <w:tcBorders>
              <w:top w:val="single" w:color="D1D5DB" w:sz="4"/>
              <w:left w:val="single" w:color="D1D5DB" w:sz="4"/>
              <w:bottom w:val="single" w:color="D1D5DB" w:sz="4"/>
              <w:right w:val="single" w:color="D1D5DB" w:sz="4"/>
            </w:tcBorders>
            <w:shd w:fill="2E4057" w:val="clear"/>
            <w:tcMar>
              <w:top w:type="dxa" w:w="120"/>
              <w:left w:type="dxa" w:w="140"/>
              <w:bottom w:type="dxa" w:w="120"/>
              <w:right w:type="dxa" w:w="140"/>
            </w:tcMar>
            <w:vAlign w:val="center"/>
          </w:tcPr>
          <w:p>
            <w:pPr>
              <w:spacing w:after="0" w:before="0"/>
            </w:pPr>
            <w:r>
              <w:rPr>
                <w:rFonts w:ascii="Calibri" w:cs="Calibri" w:eastAsia="Calibri" w:hAnsi="Calibri"/>
                <w:b/>
                <w:bCs/>
                <w:color w:val="FFFFFF"/>
                <w:sz w:val="22"/>
                <w:szCs w:val="22"/>
              </w:rPr>
              <w:t xml:space="preserve">Tag ID</w:t>
            </w:r>
          </w:p>
        </w:tc>
        <w:tc>
          <w:tcPr>
            <w:tcW w:type="dxa" w:w="2200"/>
            <w:tcBorders>
              <w:top w:val="single" w:color="D1D5DB" w:sz="4"/>
              <w:left w:val="single" w:color="D1D5DB" w:sz="4"/>
              <w:bottom w:val="single" w:color="D1D5DB" w:sz="4"/>
              <w:right w:val="single" w:color="D1D5DB" w:sz="4"/>
            </w:tcBorders>
            <w:shd w:fill="2E4057" w:val="clear"/>
            <w:tcMar>
              <w:top w:type="dxa" w:w="120"/>
              <w:left w:type="dxa" w:w="140"/>
              <w:bottom w:type="dxa" w:w="120"/>
              <w:right w:type="dxa" w:w="140"/>
            </w:tcMar>
            <w:vAlign w:val="center"/>
          </w:tcPr>
          <w:p>
            <w:pPr>
              <w:spacing w:after="0" w:before="0"/>
            </w:pPr>
            <w:r>
              <w:rPr>
                <w:rFonts w:ascii="Calibri" w:cs="Calibri" w:eastAsia="Calibri" w:hAnsi="Calibri"/>
                <w:b/>
                <w:bCs/>
                <w:color w:val="FFFFFF"/>
                <w:sz w:val="22"/>
                <w:szCs w:val="22"/>
              </w:rPr>
              <w:t xml:space="preserve">Display Name</w:t>
            </w:r>
          </w:p>
        </w:tc>
        <w:tc>
          <w:tcPr>
            <w:tcW w:type="dxa" w:w="4160"/>
            <w:tcBorders>
              <w:top w:val="single" w:color="D1D5DB" w:sz="4"/>
              <w:left w:val="single" w:color="D1D5DB" w:sz="4"/>
              <w:bottom w:val="single" w:color="D1D5DB" w:sz="4"/>
              <w:right w:val="single" w:color="D1D5DB" w:sz="4"/>
            </w:tcBorders>
            <w:shd w:fill="2E4057" w:val="clear"/>
            <w:tcMar>
              <w:top w:type="dxa" w:w="120"/>
              <w:left w:type="dxa" w:w="140"/>
              <w:bottom w:type="dxa" w:w="120"/>
              <w:right w:type="dxa" w:w="140"/>
            </w:tcMar>
            <w:vAlign w:val="center"/>
          </w:tcPr>
          <w:p>
            <w:pPr>
              <w:spacing w:after="0" w:before="0"/>
            </w:pPr>
            <w:r>
              <w:rPr>
                <w:rFonts w:ascii="Calibri" w:cs="Calibri" w:eastAsia="Calibri" w:hAnsi="Calibri"/>
                <w:b/>
                <w:bCs/>
                <w:color w:val="FFFFFF"/>
                <w:sz w:val="22"/>
                <w:szCs w:val="22"/>
              </w:rPr>
              <w:t xml:space="preserve">Definition</w:t>
            </w:r>
          </w:p>
        </w:tc>
      </w:tr>
      <w:tr>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onsolas" w:cs="Consolas" w:eastAsia="Consolas" w:hAnsi="Consolas"/>
                <w:b w:val="false"/>
                <w:bCs w:val="false"/>
                <w:color w:val="2E4057"/>
                <w:sz w:val="20"/>
                <w:szCs w:val="20"/>
              </w:rPr>
              <w:t xml:space="preserve">event_type.announcement</w:t>
            </w:r>
          </w:p>
        </w:tc>
        <w:tc>
          <w:tcPr>
            <w:tcW w:type="dxa" w:w="22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bCs/>
                <w:color w:val="000000"/>
                <w:sz w:val="22"/>
                <w:szCs w:val="22"/>
              </w:rPr>
              <w:t xml:space="preserve">Announcement</w:t>
            </w:r>
          </w:p>
        </w:tc>
        <w:tc>
          <w:tcPr>
            <w:tcW w:type="dxa" w:w="41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val="false"/>
                <w:bCs w:val="false"/>
                <w:color w:val="000000"/>
                <w:sz w:val="22"/>
                <w:szCs w:val="22"/>
              </w:rPr>
              <w:t xml:space="preserve">A future-tense statement of intention. "Government will spend ₹500 crore." "NDRF will deploy 12 teams." Forward-looking, often a press release, frequently optimistic.</w:t>
            </w:r>
          </w:p>
        </w:tc>
      </w:tr>
      <w:tr>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onsolas" w:cs="Consolas" w:eastAsia="Consolas" w:hAnsi="Consolas"/>
                <w:b w:val="false"/>
                <w:bCs w:val="false"/>
                <w:color w:val="2E4057"/>
                <w:sz w:val="20"/>
                <w:szCs w:val="20"/>
              </w:rPr>
              <w:t xml:space="preserve">event_type.decision_policy</w:t>
            </w:r>
          </w:p>
        </w:tc>
        <w:tc>
          <w:tcPr>
            <w:tcW w:type="dxa" w:w="22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bCs/>
                <w:color w:val="000000"/>
                <w:sz w:val="22"/>
                <w:szCs w:val="22"/>
              </w:rPr>
              <w:t xml:space="preserve">Decision / Policy</w:t>
            </w:r>
          </w:p>
        </w:tc>
        <w:tc>
          <w:tcPr>
            <w:tcW w:type="dxa" w:w="41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val="false"/>
                <w:bCs w:val="false"/>
                <w:color w:val="000000"/>
                <w:sz w:val="22"/>
                <w:szCs w:val="22"/>
              </w:rPr>
              <w:t xml:space="preserve">A formal decision that has been made — policy enacted, order issued, tender awarded. Carries administrative or legal authority.</w:t>
            </w:r>
          </w:p>
        </w:tc>
      </w:tr>
      <w:tr>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onsolas" w:cs="Consolas" w:eastAsia="Consolas" w:hAnsi="Consolas"/>
                <w:b w:val="false"/>
                <w:bCs w:val="false"/>
                <w:color w:val="2E4057"/>
                <w:sz w:val="20"/>
                <w:szCs w:val="20"/>
              </w:rPr>
              <w:t xml:space="preserve">event_type.milestone</w:t>
            </w:r>
          </w:p>
        </w:tc>
        <w:tc>
          <w:tcPr>
            <w:tcW w:type="dxa" w:w="22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bCs/>
                <w:color w:val="000000"/>
                <w:sz w:val="22"/>
                <w:szCs w:val="22"/>
              </w:rPr>
              <w:t xml:space="preserve">Milestone</w:t>
            </w:r>
          </w:p>
        </w:tc>
        <w:tc>
          <w:tcPr>
            <w:tcW w:type="dxa" w:w="41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val="false"/>
                <w:bCs w:val="false"/>
                <w:color w:val="000000"/>
                <w:sz w:val="22"/>
                <w:szCs w:val="22"/>
              </w:rPr>
              <w:t xml:space="preserve">Something completed and made public. Bridge opened, app launched, hospital inaugurated, first pilgrim arrival of the season.</w:t>
            </w:r>
          </w:p>
        </w:tc>
      </w:tr>
      <w:tr>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onsolas" w:cs="Consolas" w:eastAsia="Consolas" w:hAnsi="Consolas"/>
                <w:b w:val="false"/>
                <w:bCs w:val="false"/>
                <w:color w:val="2E4057"/>
                <w:sz w:val="20"/>
                <w:szCs w:val="20"/>
              </w:rPr>
              <w:t xml:space="preserve">event_type.incident</w:t>
            </w:r>
          </w:p>
        </w:tc>
        <w:tc>
          <w:tcPr>
            <w:tcW w:type="dxa" w:w="22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bCs/>
                <w:color w:val="000000"/>
                <w:sz w:val="22"/>
                <w:szCs w:val="22"/>
              </w:rPr>
              <w:t xml:space="preserve">Incident</w:t>
            </w:r>
          </w:p>
        </w:tc>
        <w:tc>
          <w:tcPr>
            <w:tcW w:type="dxa" w:w="41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val="false"/>
                <w:bCs w:val="false"/>
                <w:color w:val="000000"/>
                <w:sz w:val="22"/>
                <w:szCs w:val="22"/>
              </w:rPr>
              <w:t xml:space="preserve">Something happened that was not planned. Stampede, fire, drowning, raid, protest, accident. Time-sensitive.</w:t>
            </w:r>
          </w:p>
        </w:tc>
      </w:tr>
      <w:tr>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onsolas" w:cs="Consolas" w:eastAsia="Consolas" w:hAnsi="Consolas"/>
                <w:b w:val="false"/>
                <w:bCs w:val="false"/>
                <w:color w:val="2E4057"/>
                <w:sz w:val="20"/>
                <w:szCs w:val="20"/>
              </w:rPr>
              <w:t xml:space="preserve">event_type.analysis</w:t>
            </w:r>
          </w:p>
        </w:tc>
        <w:tc>
          <w:tcPr>
            <w:tcW w:type="dxa" w:w="22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bCs/>
                <w:color w:val="000000"/>
                <w:sz w:val="22"/>
                <w:szCs w:val="22"/>
              </w:rPr>
              <w:t xml:space="preserve">Analysis</w:t>
            </w:r>
          </w:p>
        </w:tc>
        <w:tc>
          <w:tcPr>
            <w:tcW w:type="dxa" w:w="41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val="false"/>
                <w:bCs w:val="false"/>
                <w:color w:val="000000"/>
                <w:sz w:val="22"/>
                <w:szCs w:val="22"/>
              </w:rPr>
              <w:t xml:space="preserve">Opinion, commentary, op-ed, deep dive, retrospective. The author interprets events rather than reporting them.</w:t>
            </w:r>
          </w:p>
        </w:tc>
      </w:tr>
      <w:tr>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onsolas" w:cs="Consolas" w:eastAsia="Consolas" w:hAnsi="Consolas"/>
                <w:b w:val="false"/>
                <w:bCs w:val="false"/>
                <w:color w:val="2E4057"/>
                <w:sz w:val="20"/>
                <w:szCs w:val="20"/>
              </w:rPr>
              <w:t xml:space="preserve">event_type.investigation</w:t>
            </w:r>
          </w:p>
        </w:tc>
        <w:tc>
          <w:tcPr>
            <w:tcW w:type="dxa" w:w="22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bCs/>
                <w:color w:val="000000"/>
                <w:sz w:val="22"/>
                <w:szCs w:val="22"/>
              </w:rPr>
              <w:t xml:space="preserve">Investigation</w:t>
            </w:r>
          </w:p>
        </w:tc>
        <w:tc>
          <w:tcPr>
            <w:tcW w:type="dxa" w:w="41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val="false"/>
                <w:bCs w:val="false"/>
                <w:color w:val="000000"/>
                <w:sz w:val="22"/>
                <w:szCs w:val="22"/>
              </w:rPr>
              <w:t xml:space="preserve">Journalism that uncovers information not previously public. The reporting itself is the news.</w:t>
            </w:r>
          </w:p>
        </w:tc>
      </w:tr>
      <w:tr>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onsolas" w:cs="Consolas" w:eastAsia="Consolas" w:hAnsi="Consolas"/>
                <w:b w:val="false"/>
                <w:bCs w:val="false"/>
                <w:color w:val="2E4057"/>
                <w:sz w:val="20"/>
                <w:szCs w:val="20"/>
              </w:rPr>
              <w:t xml:space="preserve">event_type.forecast</w:t>
            </w:r>
          </w:p>
        </w:tc>
        <w:tc>
          <w:tcPr>
            <w:tcW w:type="dxa" w:w="22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bCs/>
                <w:color w:val="000000"/>
                <w:sz w:val="22"/>
                <w:szCs w:val="22"/>
              </w:rPr>
              <w:t xml:space="preserve">Forecast</w:t>
            </w:r>
          </w:p>
        </w:tc>
        <w:tc>
          <w:tcPr>
            <w:tcW w:type="dxa" w:w="41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val="false"/>
                <w:bCs w:val="false"/>
                <w:color w:val="000000"/>
                <w:sz w:val="22"/>
                <w:szCs w:val="22"/>
              </w:rPr>
              <w:t xml:space="preserve">Predictions, projections, planning estimates. Differs from announcement: an announcement is "we will do X"; a forecast is "X will happen."</w:t>
            </w:r>
          </w:p>
        </w:tc>
      </w:tr>
      <w:tr>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onsolas" w:cs="Consolas" w:eastAsia="Consolas" w:hAnsi="Consolas"/>
                <w:b w:val="false"/>
                <w:bCs w:val="false"/>
                <w:color w:val="2E4057"/>
                <w:sz w:val="20"/>
                <w:szCs w:val="20"/>
              </w:rPr>
              <w:t xml:space="preserve">event_type.testimony</w:t>
            </w:r>
          </w:p>
        </w:tc>
        <w:tc>
          <w:tcPr>
            <w:tcW w:type="dxa" w:w="22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bCs/>
                <w:color w:val="000000"/>
                <w:sz w:val="22"/>
                <w:szCs w:val="22"/>
              </w:rPr>
              <w:t xml:space="preserve">Testimony</w:t>
            </w:r>
          </w:p>
        </w:tc>
        <w:tc>
          <w:tcPr>
            <w:tcW w:type="dxa" w:w="41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val="false"/>
                <w:bCs w:val="false"/>
                <w:color w:val="000000"/>
                <w:sz w:val="22"/>
                <w:szCs w:val="22"/>
              </w:rPr>
              <w:t xml:space="preserve">First-person account from someone who experienced something. Pilgrim story, eyewitness report, lived experience.</w:t>
            </w:r>
          </w:p>
        </w:tc>
      </w:tr>
      <w:tr>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onsolas" w:cs="Consolas" w:eastAsia="Consolas" w:hAnsi="Consolas"/>
                <w:b w:val="false"/>
                <w:bCs w:val="false"/>
                <w:color w:val="2E4057"/>
                <w:sz w:val="20"/>
                <w:szCs w:val="20"/>
              </w:rPr>
              <w:t xml:space="preserve">event_type.correction</w:t>
            </w:r>
          </w:p>
        </w:tc>
        <w:tc>
          <w:tcPr>
            <w:tcW w:type="dxa" w:w="22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bCs/>
                <w:color w:val="000000"/>
                <w:sz w:val="22"/>
                <w:szCs w:val="22"/>
              </w:rPr>
              <w:t xml:space="preserve">Correction</w:t>
            </w:r>
          </w:p>
        </w:tc>
        <w:tc>
          <w:tcPr>
            <w:tcW w:type="dxa" w:w="41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val="false"/>
                <w:bCs w:val="false"/>
                <w:color w:val="000000"/>
                <w:sz w:val="22"/>
                <w:szCs w:val="22"/>
              </w:rPr>
              <w:t xml:space="preserve">Retraction, clarification, fact-check, official rebuttal. The content fixes an earlier claim.</w:t>
            </w:r>
          </w:p>
        </w:tc>
      </w:tr>
      <w:tr>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onsolas" w:cs="Consolas" w:eastAsia="Consolas" w:hAnsi="Consolas"/>
                <w:b w:val="false"/>
                <w:bCs w:val="false"/>
                <w:color w:val="2E4057"/>
                <w:sz w:val="20"/>
                <w:szCs w:val="20"/>
              </w:rPr>
              <w:t xml:space="preserve">event_type.data_release</w:t>
            </w:r>
          </w:p>
        </w:tc>
        <w:tc>
          <w:tcPr>
            <w:tcW w:type="dxa" w:w="22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bCs/>
                <w:color w:val="000000"/>
                <w:sz w:val="22"/>
                <w:szCs w:val="22"/>
              </w:rPr>
              <w:t xml:space="preserve">Data Release</w:t>
            </w:r>
          </w:p>
        </w:tc>
        <w:tc>
          <w:tcPr>
            <w:tcW w:type="dxa" w:w="41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val="false"/>
                <w:bCs w:val="false"/>
                <w:color w:val="000000"/>
                <w:sz w:val="22"/>
                <w:szCs w:val="22"/>
              </w:rPr>
              <w:t xml:space="preserve">Government, academic, or institutional publication of numbers or formal reports.</w:t>
            </w:r>
          </w:p>
        </w:tc>
      </w:tr>
      <w:tr>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onsolas" w:cs="Consolas" w:eastAsia="Consolas" w:hAnsi="Consolas"/>
                <w:b w:val="false"/>
                <w:bCs w:val="false"/>
                <w:color w:val="2E4057"/>
                <w:sz w:val="20"/>
                <w:szCs w:val="20"/>
              </w:rPr>
              <w:t xml:space="preserve">event_type.cultural_moment</w:t>
            </w:r>
          </w:p>
        </w:tc>
        <w:tc>
          <w:tcPr>
            <w:tcW w:type="dxa" w:w="22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bCs/>
                <w:color w:val="000000"/>
                <w:sz w:val="22"/>
                <w:szCs w:val="22"/>
              </w:rPr>
              <w:t xml:space="preserve">Cultural Moment</w:t>
            </w:r>
          </w:p>
        </w:tc>
        <w:tc>
          <w:tcPr>
            <w:tcW w:type="dxa" w:w="41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val="false"/>
                <w:bCs w:val="false"/>
                <w:color w:val="000000"/>
                <w:sz w:val="22"/>
                <w:szCs w:val="22"/>
              </w:rPr>
              <w:t xml:space="preserve">A notable performance, gathering, celebration. A viral aarti, a famous performance, a milestone in religious programming.</w:t>
            </w:r>
          </w:p>
        </w:tc>
      </w:tr>
      <w:tr>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onsolas" w:cs="Consolas" w:eastAsia="Consolas" w:hAnsi="Consolas"/>
                <w:b w:val="false"/>
                <w:bCs w:val="false"/>
                <w:color w:val="2E4057"/>
                <w:sz w:val="20"/>
                <w:szCs w:val="20"/>
              </w:rPr>
              <w:t xml:space="preserve">event_type.legal_judicial</w:t>
            </w:r>
          </w:p>
        </w:tc>
        <w:tc>
          <w:tcPr>
            <w:tcW w:type="dxa" w:w="22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bCs/>
                <w:color w:val="000000"/>
                <w:sz w:val="22"/>
                <w:szCs w:val="22"/>
              </w:rPr>
              <w:t xml:space="preserve">Legal / Judicial</w:t>
            </w:r>
          </w:p>
        </w:tc>
        <w:tc>
          <w:tcPr>
            <w:tcW w:type="dxa" w:w="41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val="false"/>
                <w:bCs w:val="false"/>
                <w:color w:val="000000"/>
                <w:sz w:val="22"/>
                <w:szCs w:val="22"/>
              </w:rPr>
              <w:t xml:space="preserve">Court rulings, FIRs filed, litigation, formal complaints. Anything inside the legal system.</w:t>
            </w:r>
          </w:p>
        </w:tc>
      </w:tr>
    </w:tbl>
    <w:p>
      <w:pPr>
        <w:spacing w:after="80" w:before="80"/>
      </w:pPr>
      <w:r>
        <w:t xml:space="preserve"/>
      </w:r>
    </w:p>
    <w:p>
      <w:pPr>
        <w:pStyle w:val="Heading3"/>
        <w:spacing w:after="110" w:before="220"/>
      </w:pPr>
      <w:r>
        <w:rPr>
          <w:rFonts w:ascii="Calibri" w:cs="Calibri" w:eastAsia="Calibri" w:hAnsi="Calibri"/>
          <w:b/>
          <w:bCs/>
          <w:color w:val="C8553D"/>
          <w:sz w:val="26"/>
          <w:szCs w:val="26"/>
        </w:rPr>
        <w:t xml:space="preserve">The single hardest distinction — announcement vs decision_policy</w:t>
      </w:r>
    </w:p>
    <w:p>
      <w:pPr>
        <w:spacing w:after="60" w:before="60" w:line="320"/>
      </w:pPr>
      <w:r>
        <w:rPr>
          <w:rFonts w:ascii="Calibri" w:cs="Calibri" w:eastAsia="Calibri" w:hAnsi="Calibri"/>
          <w:sz w:val="22"/>
          <w:szCs w:val="22"/>
        </w:rPr>
        <w:t xml:space="preserve">These two tags look similar and trip up new classifiers most often. The clean test is this: an announcement is a stated intention or plan. A decision_policy is a formal act that creates legal or administrative reality. "We plan to ban single-use plastic at Kumbh" is an announcement. "Maharashtra notifies single-use plastic ban at Kumbh, effective immediately" is a decision_policy. The notification is the act; the announcement is talking about the act.</w:t>
      </w:r>
    </w:p>
    <w:p>
      <w:pPr>
        <w:pStyle w:val="Heading3"/>
        <w:spacing w:after="110" w:before="220"/>
      </w:pPr>
      <w:r>
        <w:rPr>
          <w:rFonts w:ascii="Calibri" w:cs="Calibri" w:eastAsia="Calibri" w:hAnsi="Calibri"/>
          <w:b/>
          <w:bCs/>
          <w:color w:val="C8553D"/>
          <w:sz w:val="26"/>
          <w:szCs w:val="26"/>
        </w:rPr>
        <w:t xml:space="preserve">Event types in action</w:t>
      </w:r>
    </w:p>
    <w:p>
      <w:pPr>
        <w:spacing w:after="60" w:before="60" w:line="320"/>
      </w:pPr>
      <w:r>
        <w:rPr>
          <w:rFonts w:ascii="Calibri" w:cs="Calibri" w:eastAsia="Calibri" w:hAnsi="Calibri"/>
          <w:b/>
          <w:bCs/>
          <w:sz w:val="22"/>
          <w:szCs w:val="22"/>
        </w:rPr>
        <w:t xml:space="preserve">Example A. </w:t>
      </w:r>
      <w:r>
        <w:rPr>
          <w:rFonts w:ascii="Calibri" w:cs="Calibri" w:eastAsia="Calibri" w:hAnsi="Calibri"/>
          <w:i/>
          <w:iCs/>
          <w:sz w:val="22"/>
          <w:szCs w:val="22"/>
        </w:rPr>
        <w:t xml:space="preserve">"Maharashtra government allocates ₹2,378 crore for Simhastha 2027." </w:t>
      </w:r>
      <w:r>
        <w:rPr>
          <w:rFonts w:ascii="Calibri" w:cs="Calibri" w:eastAsia="Calibri" w:hAnsi="Calibri"/>
          <w:sz w:val="22"/>
          <w:szCs w:val="22"/>
        </w:rPr>
        <w:t xml:space="preserve"> Event type: </w:t>
      </w:r>
      <w:r>
        <w:rPr>
          <w:rFonts w:ascii="Consolas" w:cs="Consolas" w:eastAsia="Consolas" w:hAnsi="Consolas"/>
          <w:b w:val="false"/>
          <w:bCs w:val="false"/>
          <w:color w:val="2E4057"/>
          <w:sz w:val="20"/>
          <w:szCs w:val="20"/>
        </w:rPr>
        <w:t xml:space="preserve">event_type.announcement</w:t>
      </w:r>
      <w:r>
        <w:rPr>
          <w:rFonts w:ascii="Calibri" w:cs="Calibri" w:eastAsia="Calibri" w:hAnsi="Calibri"/>
          <w:sz w:val="22"/>
          <w:szCs w:val="22"/>
        </w:rPr>
        <w:t xml:space="preserve">. A forward-looking commitment of resources. The allocation has been announced but no individual rupee has yet been spent.</w:t>
      </w:r>
    </w:p>
    <w:p>
      <w:pPr>
        <w:spacing w:after="60" w:before="60" w:line="320"/>
      </w:pPr>
      <w:r>
        <w:rPr>
          <w:rFonts w:ascii="Calibri" w:cs="Calibri" w:eastAsia="Calibri" w:hAnsi="Calibri"/>
          <w:b/>
          <w:bCs/>
          <w:sz w:val="22"/>
          <w:szCs w:val="22"/>
        </w:rPr>
        <w:t xml:space="preserve">Example B. </w:t>
      </w:r>
      <w:r>
        <w:rPr>
          <w:rFonts w:ascii="Calibri" w:cs="Calibri" w:eastAsia="Calibri" w:hAnsi="Calibri"/>
          <w:i/>
          <w:iCs/>
          <w:sz w:val="22"/>
          <w:szCs w:val="22"/>
        </w:rPr>
        <w:t xml:space="preserve">"Maharashtra government's Simhastha allocation: 60% spent, 40% unused as event ends." </w:t>
      </w:r>
      <w:r>
        <w:rPr>
          <w:rFonts w:ascii="Calibri" w:cs="Calibri" w:eastAsia="Calibri" w:hAnsi="Calibri"/>
          <w:sz w:val="22"/>
          <w:szCs w:val="22"/>
        </w:rPr>
        <w:t xml:space="preserve"> Event type: </w:t>
      </w:r>
      <w:r>
        <w:rPr>
          <w:rFonts w:ascii="Consolas" w:cs="Consolas" w:eastAsia="Consolas" w:hAnsi="Consolas"/>
          <w:b w:val="false"/>
          <w:bCs w:val="false"/>
          <w:color w:val="2E4057"/>
          <w:sz w:val="20"/>
          <w:szCs w:val="20"/>
        </w:rPr>
        <w:t xml:space="preserve">event_type.data_release</w:t>
      </w:r>
      <w:r>
        <w:rPr>
          <w:rFonts w:ascii="Calibri" w:cs="Calibri" w:eastAsia="Calibri" w:hAnsi="Calibri"/>
          <w:sz w:val="22"/>
          <w:szCs w:val="22"/>
        </w:rPr>
        <w:t xml:space="preserve"> if the article presents official audit numbers; </w:t>
      </w:r>
      <w:r>
        <w:rPr>
          <w:rFonts w:ascii="Consolas" w:cs="Consolas" w:eastAsia="Consolas" w:hAnsi="Consolas"/>
          <w:b w:val="false"/>
          <w:bCs w:val="false"/>
          <w:color w:val="2E4057"/>
          <w:sz w:val="20"/>
          <w:szCs w:val="20"/>
        </w:rPr>
        <w:t xml:space="preserve">event_type.analysis</w:t>
      </w:r>
      <w:r>
        <w:rPr>
          <w:rFonts w:ascii="Calibri" w:cs="Calibri" w:eastAsia="Calibri" w:hAnsi="Calibri"/>
          <w:sz w:val="22"/>
          <w:szCs w:val="22"/>
        </w:rPr>
        <w:t xml:space="preserve"> if it is editorial commentary on those numbers. The classifier picks one based on whose voice dominates the article.</w:t>
      </w:r>
    </w:p>
    <w:p>
      <w:pPr>
        <w:spacing w:after="60" w:before="60" w:line="320"/>
      </w:pPr>
      <w:r>
        <w:rPr>
          <w:rFonts w:ascii="Calibri" w:cs="Calibri" w:eastAsia="Calibri" w:hAnsi="Calibri"/>
          <w:b/>
          <w:bCs/>
          <w:sz w:val="22"/>
          <w:szCs w:val="22"/>
        </w:rPr>
        <w:t xml:space="preserve">Example C. </w:t>
      </w:r>
      <w:r>
        <w:rPr>
          <w:rFonts w:ascii="Calibri" w:cs="Calibri" w:eastAsia="Calibri" w:hAnsi="Calibri"/>
          <w:i/>
          <w:iCs/>
          <w:sz w:val="22"/>
          <w:szCs w:val="22"/>
        </w:rPr>
        <w:t xml:space="preserve">A WhatsApp-forwarded message claims a major stampede at Ramkund. </w:t>
      </w:r>
      <w:r>
        <w:rPr>
          <w:rFonts w:ascii="Calibri" w:cs="Calibri" w:eastAsia="Calibri" w:hAnsi="Calibri"/>
          <w:sz w:val="22"/>
          <w:szCs w:val="22"/>
        </w:rPr>
        <w:t xml:space="preserve"> Event type: </w:t>
      </w:r>
      <w:r>
        <w:rPr>
          <w:rFonts w:ascii="Consolas" w:cs="Consolas" w:eastAsia="Consolas" w:hAnsi="Consolas"/>
          <w:b w:val="false"/>
          <w:bCs w:val="false"/>
          <w:color w:val="2E4057"/>
          <w:sz w:val="20"/>
          <w:szCs w:val="20"/>
        </w:rPr>
        <w:t xml:space="preserve">event_type.incident</w:t>
      </w:r>
      <w:r>
        <w:rPr>
          <w:rFonts w:ascii="Calibri" w:cs="Calibri" w:eastAsia="Calibri" w:hAnsi="Calibri"/>
          <w:sz w:val="22"/>
          <w:szCs w:val="22"/>
        </w:rPr>
        <w:t xml:space="preserve">. The message describes an alleged incident. The fact that the claim is unverified does not change the event type — that information goes into the Information Quality axis, not into event type. Keeping event type clean of credibility judgments is important.</w:t>
      </w:r>
    </w:p>
    <w:p>
      <w:pPr>
        <w:spacing w:after="60" w:before="60" w:line="320"/>
      </w:pPr>
      <w:r>
        <w:rPr>
          <w:rFonts w:ascii="Calibri" w:cs="Calibri" w:eastAsia="Calibri" w:hAnsi="Calibri"/>
          <w:b/>
          <w:bCs/>
          <w:sz w:val="22"/>
          <w:szCs w:val="22"/>
        </w:rPr>
        <w:t xml:space="preserve">Example D. </w:t>
      </w:r>
      <w:r>
        <w:rPr>
          <w:rFonts w:ascii="Calibri" w:cs="Calibri" w:eastAsia="Calibri" w:hAnsi="Calibri"/>
          <w:i/>
          <w:iCs/>
          <w:sz w:val="22"/>
          <w:szCs w:val="22"/>
        </w:rPr>
        <w:t xml:space="preserve">A subsequent police statement: "There was no stampede at Ramkund; viral message is false." </w:t>
      </w:r>
      <w:r>
        <w:rPr>
          <w:rFonts w:ascii="Calibri" w:cs="Calibri" w:eastAsia="Calibri" w:hAnsi="Calibri"/>
          <w:sz w:val="22"/>
          <w:szCs w:val="22"/>
        </w:rPr>
        <w:t xml:space="preserve"> Event type: </w:t>
      </w:r>
      <w:r>
        <w:rPr>
          <w:rFonts w:ascii="Consolas" w:cs="Consolas" w:eastAsia="Consolas" w:hAnsi="Consolas"/>
          <w:b w:val="false"/>
          <w:bCs w:val="false"/>
          <w:color w:val="2E4057"/>
          <w:sz w:val="20"/>
          <w:szCs w:val="20"/>
        </w:rPr>
        <w:t xml:space="preserve">event_type.correction</w:t>
      </w:r>
      <w:r>
        <w:rPr>
          <w:rFonts w:ascii="Calibri" w:cs="Calibri" w:eastAsia="Calibri" w:hAnsi="Calibri"/>
          <w:sz w:val="22"/>
          <w:szCs w:val="22"/>
        </w:rPr>
        <w:t xml:space="preserve">. The statement explicitly corrects an earlier claim. Linked to the prior rumor in the misinfo layer.</w:t>
      </w:r>
    </w:p>
    <w:p>
      <w:r>
        <w:br w:type="page"/>
      </w:r>
    </w:p>
    <w:p>
      <w:pPr>
        <w:pStyle w:val="Heading1"/>
        <w:spacing w:after="180" w:before="360"/>
      </w:pPr>
      <w:r>
        <w:rPr>
          <w:rFonts w:ascii="Calibri" w:cs="Calibri" w:eastAsia="Calibri" w:hAnsi="Calibri"/>
          <w:b/>
          <w:bCs/>
          <w:color w:val="2E4057"/>
          <w:sz w:val="36"/>
          <w:szCs w:val="36"/>
        </w:rPr>
        <w:t xml:space="preserve">5. Axis 3 — Stakeholder</w:t>
      </w:r>
    </w:p>
    <w:p>
      <w:pPr>
        <w:spacing w:after="60" w:before="60" w:line="320"/>
      </w:pPr>
      <w:r>
        <w:rPr>
          <w:rFonts w:ascii="Calibri" w:cs="Calibri" w:eastAsia="Calibri" w:hAnsi="Calibri"/>
          <w:sz w:val="22"/>
          <w:szCs w:val="22"/>
        </w:rPr>
        <w:t xml:space="preserve">Stakeholder answers: whose perspective is this content? Who is the actor or speaker? An item gets one or more stakeholders. A joint press conference featuring a chief minister and an akhada head produces a single article with both stakeholders tagged. A piece of citizen journalism gets just the citizen voice.</w:t>
      </w:r>
    </w:p>
    <w:p>
      <w:pPr>
        <w:pStyle w:val="Heading3"/>
        <w:spacing w:after="110" w:before="220"/>
      </w:pPr>
      <w:r>
        <w:rPr>
          <w:rFonts w:ascii="Calibri" w:cs="Calibri" w:eastAsia="Calibri" w:hAnsi="Calibri"/>
          <w:b/>
          <w:bCs/>
          <w:color w:val="C8553D"/>
          <w:sz w:val="26"/>
          <w:szCs w:val="26"/>
        </w:rPr>
        <w:t xml:space="preserve">Why this axis matters</w:t>
      </w:r>
    </w:p>
    <w:p>
      <w:pPr>
        <w:spacing w:after="60" w:before="60" w:line="320"/>
      </w:pPr>
      <w:r>
        <w:rPr>
          <w:rFonts w:ascii="Calibri" w:cs="Calibri" w:eastAsia="Calibri" w:hAnsi="Calibri"/>
          <w:sz w:val="22"/>
          <w:szCs w:val="22"/>
        </w:rPr>
        <w:t xml:space="preserve">The same event told from different stakeholders becomes a different story. A river-pollution event told by the state pollution control board and the same event told by a local environmental NGO will differ in framing, severity, attributed cause, and recommended action. Indexing stakeholders explicitly lets researchers find these contrasts. It also lets journalists check for absent voices: stories about pilgrim welfare with no pilgrim_stakeholder tag are stories where the pilgrim voice is missing.</w:t>
      </w:r>
    </w:p>
    <w:p>
      <w:pPr>
        <w:pStyle w:val="Heading3"/>
        <w:spacing w:after="110" w:before="220"/>
      </w:pPr>
      <w:r>
        <w:rPr>
          <w:rFonts w:ascii="Calibri" w:cs="Calibri" w:eastAsia="Calibri" w:hAnsi="Calibri"/>
          <w:b/>
          <w:bCs/>
          <w:color w:val="C8553D"/>
          <w:sz w:val="26"/>
          <w:szCs w:val="26"/>
        </w:rPr>
        <w:t xml:space="preserve">The 13 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rPr>
          <w:tblHeader/>
        </w:trPr>
        <w:tc>
          <w:tcPr>
            <w:tcW w:type="dxa" w:w="3000"/>
            <w:tcBorders>
              <w:top w:val="single" w:color="D1D5DB" w:sz="4"/>
              <w:left w:val="single" w:color="D1D5DB" w:sz="4"/>
              <w:bottom w:val="single" w:color="D1D5DB" w:sz="4"/>
              <w:right w:val="single" w:color="D1D5DB" w:sz="4"/>
            </w:tcBorders>
            <w:shd w:fill="2E4057" w:val="clear"/>
            <w:tcMar>
              <w:top w:type="dxa" w:w="120"/>
              <w:left w:type="dxa" w:w="140"/>
              <w:bottom w:type="dxa" w:w="120"/>
              <w:right w:type="dxa" w:w="140"/>
            </w:tcMar>
            <w:vAlign w:val="center"/>
          </w:tcPr>
          <w:p>
            <w:pPr>
              <w:spacing w:after="0" w:before="0"/>
            </w:pPr>
            <w:r>
              <w:rPr>
                <w:rFonts w:ascii="Calibri" w:cs="Calibri" w:eastAsia="Calibri" w:hAnsi="Calibri"/>
                <w:b/>
                <w:bCs/>
                <w:color w:val="FFFFFF"/>
                <w:sz w:val="22"/>
                <w:szCs w:val="22"/>
              </w:rPr>
              <w:t xml:space="preserve">Tag ID</w:t>
            </w:r>
          </w:p>
        </w:tc>
        <w:tc>
          <w:tcPr>
            <w:tcW w:type="dxa" w:w="2400"/>
            <w:tcBorders>
              <w:top w:val="single" w:color="D1D5DB" w:sz="4"/>
              <w:left w:val="single" w:color="D1D5DB" w:sz="4"/>
              <w:bottom w:val="single" w:color="D1D5DB" w:sz="4"/>
              <w:right w:val="single" w:color="D1D5DB" w:sz="4"/>
            </w:tcBorders>
            <w:shd w:fill="2E4057" w:val="clear"/>
            <w:tcMar>
              <w:top w:type="dxa" w:w="120"/>
              <w:left w:type="dxa" w:w="140"/>
              <w:bottom w:type="dxa" w:w="120"/>
              <w:right w:type="dxa" w:w="140"/>
            </w:tcMar>
            <w:vAlign w:val="center"/>
          </w:tcPr>
          <w:p>
            <w:pPr>
              <w:spacing w:after="0" w:before="0"/>
            </w:pPr>
            <w:r>
              <w:rPr>
                <w:rFonts w:ascii="Calibri" w:cs="Calibri" w:eastAsia="Calibri" w:hAnsi="Calibri"/>
                <w:b/>
                <w:bCs/>
                <w:color w:val="FFFFFF"/>
                <w:sz w:val="22"/>
                <w:szCs w:val="22"/>
              </w:rPr>
              <w:t xml:space="preserve">Display Name</w:t>
            </w:r>
          </w:p>
        </w:tc>
        <w:tc>
          <w:tcPr>
            <w:tcW w:type="dxa" w:w="3960"/>
            <w:tcBorders>
              <w:top w:val="single" w:color="D1D5DB" w:sz="4"/>
              <w:left w:val="single" w:color="D1D5DB" w:sz="4"/>
              <w:bottom w:val="single" w:color="D1D5DB" w:sz="4"/>
              <w:right w:val="single" w:color="D1D5DB" w:sz="4"/>
            </w:tcBorders>
            <w:shd w:fill="2E4057" w:val="clear"/>
            <w:tcMar>
              <w:top w:type="dxa" w:w="120"/>
              <w:left w:type="dxa" w:w="140"/>
              <w:bottom w:type="dxa" w:w="120"/>
              <w:right w:type="dxa" w:w="140"/>
            </w:tcMar>
            <w:vAlign w:val="center"/>
          </w:tcPr>
          <w:p>
            <w:pPr>
              <w:spacing w:after="0" w:before="0"/>
            </w:pPr>
            <w:r>
              <w:rPr>
                <w:rFonts w:ascii="Calibri" w:cs="Calibri" w:eastAsia="Calibri" w:hAnsi="Calibri"/>
                <w:b/>
                <w:bCs/>
                <w:color w:val="FFFFFF"/>
                <w:sz w:val="22"/>
                <w:szCs w:val="22"/>
              </w:rPr>
              <w:t xml:space="preserve">Definition</w:t>
            </w:r>
          </w:p>
        </w:tc>
      </w:tr>
      <w:tr>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onsolas" w:cs="Consolas" w:eastAsia="Consolas" w:hAnsi="Consolas"/>
                <w:b w:val="false"/>
                <w:bCs w:val="false"/>
                <w:color w:val="2E4057"/>
                <w:sz w:val="20"/>
                <w:szCs w:val="20"/>
              </w:rPr>
              <w:t xml:space="preserve">stakeholder.gov_centre</w:t>
            </w:r>
          </w:p>
        </w:tc>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bCs/>
                <w:color w:val="000000"/>
                <w:sz w:val="22"/>
                <w:szCs w:val="22"/>
              </w:rPr>
              <w:t xml:space="preserve">Government — Centre</w:t>
            </w:r>
          </w:p>
        </w:tc>
        <w:tc>
          <w:tcPr>
            <w:tcW w:type="dxa" w:w="39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val="false"/>
                <w:bCs w:val="false"/>
                <w:color w:val="000000"/>
                <w:sz w:val="22"/>
                <w:szCs w:val="22"/>
              </w:rPr>
              <w:t xml:space="preserve">Union ministries, central agencies (ICMR, NDRF national HQ), Press Information Bureau.</w:t>
            </w:r>
          </w:p>
        </w:tc>
      </w:tr>
      <w:tr>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onsolas" w:cs="Consolas" w:eastAsia="Consolas" w:hAnsi="Consolas"/>
                <w:b w:val="false"/>
                <w:bCs w:val="false"/>
                <w:color w:val="2E4057"/>
                <w:sz w:val="20"/>
                <w:szCs w:val="20"/>
              </w:rPr>
              <w:t xml:space="preserve">stakeholder.gov_state</w:t>
            </w:r>
          </w:p>
        </w:tc>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bCs/>
                <w:color w:val="000000"/>
                <w:sz w:val="22"/>
                <w:szCs w:val="22"/>
              </w:rPr>
              <w:t xml:space="preserve">Government — State</w:t>
            </w:r>
          </w:p>
        </w:tc>
        <w:tc>
          <w:tcPr>
            <w:tcW w:type="dxa" w:w="39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val="false"/>
                <w:bCs w:val="false"/>
                <w:color w:val="000000"/>
                <w:sz w:val="22"/>
                <w:szCs w:val="22"/>
              </w:rPr>
              <w:t xml:space="preserve">Maharashtra state government and its ministries; MPCB; state police HQ; state-level secretaries.</w:t>
            </w:r>
          </w:p>
        </w:tc>
      </w:tr>
      <w:tr>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onsolas" w:cs="Consolas" w:eastAsia="Consolas" w:hAnsi="Consolas"/>
                <w:b w:val="false"/>
                <w:bCs w:val="false"/>
                <w:color w:val="2E4057"/>
                <w:sz w:val="20"/>
                <w:szCs w:val="20"/>
              </w:rPr>
              <w:t xml:space="preserve">stakeholder.gov_municipal</w:t>
            </w:r>
          </w:p>
        </w:tc>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bCs/>
                <w:color w:val="000000"/>
                <w:sz w:val="22"/>
                <w:szCs w:val="22"/>
              </w:rPr>
              <w:t xml:space="preserve">Government — Municipal</w:t>
            </w:r>
          </w:p>
        </w:tc>
        <w:tc>
          <w:tcPr>
            <w:tcW w:type="dxa" w:w="39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val="false"/>
                <w:bCs w:val="false"/>
                <w:color w:val="000000"/>
                <w:sz w:val="22"/>
                <w:szCs w:val="22"/>
              </w:rPr>
              <w:t xml:space="preserve">Nashik Municipal Corp, Trimbakeshwar Municipal Council, district administration, local elected representatives.</w:t>
            </w:r>
          </w:p>
        </w:tc>
      </w:tr>
      <w:tr>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onsolas" w:cs="Consolas" w:eastAsia="Consolas" w:hAnsi="Consolas"/>
                <w:b w:val="false"/>
                <w:bCs w:val="false"/>
                <w:color w:val="2E4057"/>
                <w:sz w:val="20"/>
                <w:szCs w:val="20"/>
              </w:rPr>
              <w:t xml:space="preserve">stakeholder.akhada</w:t>
            </w:r>
          </w:p>
        </w:tc>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bCs/>
                <w:color w:val="000000"/>
                <w:sz w:val="22"/>
                <w:szCs w:val="22"/>
              </w:rPr>
              <w:t xml:space="preserve">Akhadas</w:t>
            </w:r>
          </w:p>
        </w:tc>
        <w:tc>
          <w:tcPr>
            <w:tcW w:type="dxa" w:w="39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val="false"/>
                <w:bCs w:val="false"/>
                <w:color w:val="000000"/>
                <w:sz w:val="22"/>
                <w:szCs w:val="22"/>
              </w:rPr>
              <w:t xml:space="preserve">The 13 traditional akhadas as institutions — Akhada Parishad, individual akhada councils, mahants speaking on behalf of akhadas.</w:t>
            </w:r>
          </w:p>
        </w:tc>
      </w:tr>
      <w:tr>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onsolas" w:cs="Consolas" w:eastAsia="Consolas" w:hAnsi="Consolas"/>
                <w:b w:val="false"/>
                <w:bCs w:val="false"/>
                <w:color w:val="2E4057"/>
                <w:sz w:val="20"/>
                <w:szCs w:val="20"/>
              </w:rPr>
              <w:t xml:space="preserve">stakeholder.temple_trust</w:t>
            </w:r>
          </w:p>
        </w:tc>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bCs/>
                <w:color w:val="000000"/>
                <w:sz w:val="22"/>
                <w:szCs w:val="22"/>
              </w:rPr>
              <w:t xml:space="preserve">Temple Trusts</w:t>
            </w:r>
          </w:p>
        </w:tc>
        <w:tc>
          <w:tcPr>
            <w:tcW w:type="dxa" w:w="39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val="false"/>
                <w:bCs w:val="false"/>
                <w:color w:val="000000"/>
                <w:sz w:val="22"/>
                <w:szCs w:val="22"/>
              </w:rPr>
              <w:t xml:space="preserve">Temple management bodies — Trimbakeshwar Temple Trust, individual temple administrations. Distinct from akhadas: temples are managed by trusts, not by ascetic orders.</w:t>
            </w:r>
          </w:p>
        </w:tc>
      </w:tr>
      <w:tr>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onsolas" w:cs="Consolas" w:eastAsia="Consolas" w:hAnsi="Consolas"/>
                <w:b w:val="false"/>
                <w:bCs w:val="false"/>
                <w:color w:val="2E4057"/>
                <w:sz w:val="20"/>
                <w:szCs w:val="20"/>
              </w:rPr>
              <w:t xml:space="preserve">stakeholder.pilgrim</w:t>
            </w:r>
          </w:p>
        </w:tc>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bCs/>
                <w:color w:val="000000"/>
                <w:sz w:val="22"/>
                <w:szCs w:val="22"/>
              </w:rPr>
              <w:t xml:space="preserve">Pilgrims</w:t>
            </w:r>
          </w:p>
        </w:tc>
        <w:tc>
          <w:tcPr>
            <w:tcW w:type="dxa" w:w="39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val="false"/>
                <w:bCs w:val="false"/>
                <w:color w:val="000000"/>
                <w:sz w:val="22"/>
                <w:szCs w:val="22"/>
              </w:rPr>
              <w:t xml:space="preserve">Individual or aggregate pilgrim voices — first-time pilgrims, regular kalpvasis, families, foreign devotees.</w:t>
            </w:r>
          </w:p>
        </w:tc>
      </w:tr>
      <w:tr>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onsolas" w:cs="Consolas" w:eastAsia="Consolas" w:hAnsi="Consolas"/>
                <w:b w:val="false"/>
                <w:bCs w:val="false"/>
                <w:color w:val="2E4057"/>
                <w:sz w:val="20"/>
                <w:szCs w:val="20"/>
              </w:rPr>
              <w:t xml:space="preserve">stakeholder.vendor_business</w:t>
            </w:r>
          </w:p>
        </w:tc>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bCs/>
                <w:color w:val="000000"/>
                <w:sz w:val="22"/>
                <w:szCs w:val="22"/>
              </w:rPr>
              <w:t xml:space="preserve">Vendors &amp; Local Business</w:t>
            </w:r>
          </w:p>
        </w:tc>
        <w:tc>
          <w:tcPr>
            <w:tcW w:type="dxa" w:w="39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val="false"/>
                <w:bCs w:val="false"/>
                <w:color w:val="000000"/>
                <w:sz w:val="22"/>
                <w:szCs w:val="22"/>
              </w:rPr>
              <w:t xml:space="preserve">Stallholders, shopkeepers, hotels, tourism operators, food vendors — the local business interest.</w:t>
            </w:r>
          </w:p>
        </w:tc>
      </w:tr>
      <w:tr>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onsolas" w:cs="Consolas" w:eastAsia="Consolas" w:hAnsi="Consolas"/>
                <w:b w:val="false"/>
                <w:bCs w:val="false"/>
                <w:color w:val="2E4057"/>
                <w:sz w:val="20"/>
                <w:szCs w:val="20"/>
              </w:rPr>
              <w:t xml:space="preserve">stakeholder.media_journalist</w:t>
            </w:r>
          </w:p>
        </w:tc>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bCs/>
                <w:color w:val="000000"/>
                <w:sz w:val="22"/>
                <w:szCs w:val="22"/>
              </w:rPr>
              <w:t xml:space="preserve">Media &amp; Journalists</w:t>
            </w:r>
          </w:p>
        </w:tc>
        <w:tc>
          <w:tcPr>
            <w:tcW w:type="dxa" w:w="39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val="false"/>
                <w:bCs w:val="false"/>
                <w:color w:val="000000"/>
                <w:sz w:val="22"/>
                <w:szCs w:val="22"/>
              </w:rPr>
              <w:t xml:space="preserve">News organizations and individual reporters as actors — investigating, opining, breaking stories. Applies when journalism itself is the subject or when a named journalist is the protagonist, not for every article.</w:t>
            </w:r>
          </w:p>
        </w:tc>
      </w:tr>
      <w:tr>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onsolas" w:cs="Consolas" w:eastAsia="Consolas" w:hAnsi="Consolas"/>
                <w:b w:val="false"/>
                <w:bCs w:val="false"/>
                <w:color w:val="2E4057"/>
                <w:sz w:val="20"/>
                <w:szCs w:val="20"/>
              </w:rPr>
              <w:t xml:space="preserve">stakeholder.civil_society</w:t>
            </w:r>
          </w:p>
        </w:tc>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bCs/>
                <w:color w:val="000000"/>
                <w:sz w:val="22"/>
                <w:szCs w:val="22"/>
              </w:rPr>
              <w:t xml:space="preserve">Civil Society / NGOs</w:t>
            </w:r>
          </w:p>
        </w:tc>
        <w:tc>
          <w:tcPr>
            <w:tcW w:type="dxa" w:w="39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val="false"/>
                <w:bCs w:val="false"/>
                <w:color w:val="000000"/>
                <w:sz w:val="22"/>
                <w:szCs w:val="22"/>
              </w:rPr>
              <w:t xml:space="preserve">NGOs, volunteer organizations, community collectives. Both formally registered nonprofits and informal groups.</w:t>
            </w:r>
          </w:p>
        </w:tc>
      </w:tr>
      <w:tr>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onsolas" w:cs="Consolas" w:eastAsia="Consolas" w:hAnsi="Consolas"/>
                <w:b w:val="false"/>
                <w:bCs w:val="false"/>
                <w:color w:val="2E4057"/>
                <w:sz w:val="20"/>
                <w:szCs w:val="20"/>
              </w:rPr>
              <w:t xml:space="preserve">stakeholder.researcher</w:t>
            </w:r>
          </w:p>
        </w:tc>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bCs/>
                <w:color w:val="000000"/>
                <w:sz w:val="22"/>
                <w:szCs w:val="22"/>
              </w:rPr>
              <w:t xml:space="preserve">Researchers &amp; Academics</w:t>
            </w:r>
          </w:p>
        </w:tc>
        <w:tc>
          <w:tcPr>
            <w:tcW w:type="dxa" w:w="39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val="false"/>
                <w:bCs w:val="false"/>
                <w:color w:val="000000"/>
                <w:sz w:val="22"/>
                <w:szCs w:val="22"/>
              </w:rPr>
              <w:t xml:space="preserve">Universities, think tanks, individual scholars speaking with academic authority.</w:t>
            </w:r>
          </w:p>
        </w:tc>
      </w:tr>
      <w:tr>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onsolas" w:cs="Consolas" w:eastAsia="Consolas" w:hAnsi="Consolas"/>
                <w:b w:val="false"/>
                <w:bCs w:val="false"/>
                <w:color w:val="2E4057"/>
                <w:sz w:val="20"/>
                <w:szCs w:val="20"/>
              </w:rPr>
              <w:t xml:space="preserve">stakeholder.foreign_observer</w:t>
            </w:r>
          </w:p>
        </w:tc>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bCs/>
                <w:color w:val="000000"/>
                <w:sz w:val="22"/>
                <w:szCs w:val="22"/>
              </w:rPr>
              <w:t xml:space="preserve">Foreign Observers</w:t>
            </w:r>
          </w:p>
        </w:tc>
        <w:tc>
          <w:tcPr>
            <w:tcW w:type="dxa" w:w="39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val="false"/>
                <w:bCs w:val="false"/>
                <w:color w:val="000000"/>
                <w:sz w:val="22"/>
                <w:szCs w:val="22"/>
              </w:rPr>
              <w:t xml:space="preserve">International media, diplomats, foreign visitors. The outside-looking-in perspective.</w:t>
            </w:r>
          </w:p>
        </w:tc>
      </w:tr>
      <w:tr>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onsolas" w:cs="Consolas" w:eastAsia="Consolas" w:hAnsi="Consolas"/>
                <w:b w:val="false"/>
                <w:bCs w:val="false"/>
                <w:color w:val="2E4057"/>
                <w:sz w:val="20"/>
                <w:szCs w:val="20"/>
              </w:rPr>
              <w:t xml:space="preserve">stakeholder.security_emergency</w:t>
            </w:r>
          </w:p>
        </w:tc>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bCs/>
                <w:color w:val="000000"/>
                <w:sz w:val="22"/>
                <w:szCs w:val="22"/>
              </w:rPr>
              <w:t xml:space="preserve">Security &amp; Emergency Services</w:t>
            </w:r>
          </w:p>
        </w:tc>
        <w:tc>
          <w:tcPr>
            <w:tcW w:type="dxa" w:w="39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val="false"/>
                <w:bCs w:val="false"/>
                <w:color w:val="000000"/>
                <w:sz w:val="22"/>
                <w:szCs w:val="22"/>
              </w:rPr>
              <w:t xml:space="preserve">Police in operational role, NDRF, fire services, ambulance and emergency medical services.</w:t>
            </w:r>
          </w:p>
        </w:tc>
      </w:tr>
      <w:tr>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onsolas" w:cs="Consolas" w:eastAsia="Consolas" w:hAnsi="Consolas"/>
                <w:b w:val="false"/>
                <w:bCs w:val="false"/>
                <w:color w:val="2E4057"/>
                <w:sz w:val="20"/>
                <w:szCs w:val="20"/>
              </w:rPr>
              <w:t xml:space="preserve">stakeholder.critic_whistleblower</w:t>
            </w:r>
          </w:p>
        </w:tc>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bCs/>
                <w:color w:val="000000"/>
                <w:sz w:val="22"/>
                <w:szCs w:val="22"/>
              </w:rPr>
              <w:t xml:space="preserve">Critics &amp; Whistleblowers</w:t>
            </w:r>
          </w:p>
        </w:tc>
        <w:tc>
          <w:tcPr>
            <w:tcW w:type="dxa" w:w="39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val="false"/>
                <w:bCs w:val="false"/>
                <w:color w:val="000000"/>
                <w:sz w:val="22"/>
                <w:szCs w:val="22"/>
              </w:rPr>
              <w:t xml:space="preserve">Voices raising concerns or exposing problems — opposition politicians, dissident bureaucrats, activists, leaked sources.</w:t>
            </w:r>
          </w:p>
        </w:tc>
      </w:tr>
    </w:tbl>
    <w:p>
      <w:pPr>
        <w:spacing w:after="80" w:before="80"/>
      </w:pPr>
      <w:r>
        <w:t xml:space="preserve"/>
      </w:r>
    </w:p>
    <w:p>
      <w:pPr>
        <w:pStyle w:val="Heading3"/>
        <w:spacing w:after="110" w:before="220"/>
      </w:pPr>
      <w:r>
        <w:rPr>
          <w:rFonts w:ascii="Calibri" w:cs="Calibri" w:eastAsia="Calibri" w:hAnsi="Calibri"/>
          <w:b/>
          <w:bCs/>
          <w:color w:val="C8553D"/>
          <w:sz w:val="26"/>
          <w:szCs w:val="26"/>
        </w:rPr>
        <w:t xml:space="preserve">Subtle distinctions worth pinning down</w:t>
      </w:r>
    </w:p>
    <w:p>
      <w:pPr>
        <w:spacing w:after="60" w:before="60" w:line="320"/>
      </w:pPr>
      <w:r>
        <w:rPr>
          <w:rFonts w:ascii="Calibri" w:cs="Calibri" w:eastAsia="Calibri" w:hAnsi="Calibri"/>
          <w:sz w:val="22"/>
          <w:szCs w:val="22"/>
        </w:rPr>
        <w:t xml:space="preserve">Government-state versus security-emergency: the Maharashtra Home Ministry making policy is gov_state. The Nashik Police Commissioner giving daily operational briefings is security_emergency. The same police force in different roles.</w:t>
      </w:r>
    </w:p>
    <w:p>
      <w:pPr>
        <w:spacing w:after="60" w:before="60" w:line="320"/>
      </w:pPr>
      <w:r>
        <w:rPr>
          <w:rFonts w:ascii="Calibri" w:cs="Calibri" w:eastAsia="Calibri" w:hAnsi="Calibri"/>
          <w:sz w:val="22"/>
          <w:szCs w:val="22"/>
        </w:rPr>
        <w:t xml:space="preserve">Media-journalist is narrow. Not every article tags this just because a journalist wrote it — that is true of everything. This tag applies when journalists or journalism is the subject, or when a named journalist is the protagonist of the story.</w:t>
      </w:r>
    </w:p>
    <w:p>
      <w:pPr>
        <w:spacing w:after="60" w:before="60" w:line="320"/>
      </w:pPr>
      <w:r>
        <w:rPr>
          <w:rFonts w:ascii="Calibri" w:cs="Calibri" w:eastAsia="Calibri" w:hAnsi="Calibri"/>
          <w:sz w:val="22"/>
          <w:szCs w:val="22"/>
        </w:rPr>
        <w:t xml:space="preserve">Critic-whistleblower overlaps with other tags. A bureaucrat exposing contractor fraud could be both gov_state (institutional role) and critic_whistleblower (functional role). Both apply, which is exactly the kind of insight the multi-tag model is designed to surface.</w:t>
      </w:r>
    </w:p>
    <w:p>
      <w:pPr>
        <w:pStyle w:val="Heading3"/>
        <w:spacing w:after="110" w:before="220"/>
      </w:pPr>
      <w:r>
        <w:rPr>
          <w:rFonts w:ascii="Calibri" w:cs="Calibri" w:eastAsia="Calibri" w:hAnsi="Calibri"/>
          <w:b/>
          <w:bCs/>
          <w:color w:val="C8553D"/>
          <w:sz w:val="26"/>
          <w:szCs w:val="26"/>
        </w:rPr>
        <w:t xml:space="preserve">Stakeholders in action</w:t>
      </w:r>
    </w:p>
    <w:p>
      <w:pPr>
        <w:spacing w:after="60" w:before="60" w:line="320"/>
      </w:pPr>
      <w:r>
        <w:rPr>
          <w:rFonts w:ascii="Calibri" w:cs="Calibri" w:eastAsia="Calibri" w:hAnsi="Calibri"/>
          <w:b/>
          <w:bCs/>
          <w:sz w:val="22"/>
          <w:szCs w:val="22"/>
        </w:rPr>
        <w:t xml:space="preserve">Example A. </w:t>
      </w:r>
      <w:r>
        <w:rPr>
          <w:rFonts w:ascii="Calibri" w:cs="Calibri" w:eastAsia="Calibri" w:hAnsi="Calibri"/>
          <w:i/>
          <w:iCs/>
          <w:sz w:val="22"/>
          <w:szCs w:val="22"/>
        </w:rPr>
        <w:t xml:space="preserve">PIB release: "Centre approves ₹3000 crore Simhastha grant." </w:t>
      </w:r>
      <w:r>
        <w:rPr>
          <w:rFonts w:ascii="Calibri" w:cs="Calibri" w:eastAsia="Calibri" w:hAnsi="Calibri"/>
          <w:sz w:val="22"/>
          <w:szCs w:val="22"/>
        </w:rPr>
        <w:t xml:space="preserve"> Stakeholder: </w:t>
      </w:r>
      <w:r>
        <w:rPr>
          <w:rFonts w:ascii="Consolas" w:cs="Consolas" w:eastAsia="Consolas" w:hAnsi="Consolas"/>
          <w:b w:val="false"/>
          <w:bCs w:val="false"/>
          <w:color w:val="2E4057"/>
          <w:sz w:val="20"/>
          <w:szCs w:val="20"/>
        </w:rPr>
        <w:t xml:space="preserve">stakeholder.gov_centre</w:t>
      </w:r>
      <w:r>
        <w:rPr>
          <w:rFonts w:ascii="Calibri" w:cs="Calibri" w:eastAsia="Calibri" w:hAnsi="Calibri"/>
          <w:sz w:val="22"/>
          <w:szCs w:val="22"/>
        </w:rPr>
        <w:t xml:space="preserve">. A single voice, centre-level.</w:t>
      </w:r>
    </w:p>
    <w:p>
      <w:pPr>
        <w:spacing w:after="60" w:before="60" w:line="320"/>
      </w:pPr>
      <w:r>
        <w:rPr>
          <w:rFonts w:ascii="Calibri" w:cs="Calibri" w:eastAsia="Calibri" w:hAnsi="Calibri"/>
          <w:b/>
          <w:bCs/>
          <w:sz w:val="22"/>
          <w:szCs w:val="22"/>
        </w:rPr>
        <w:t xml:space="preserve">Example B. </w:t>
      </w:r>
      <w:r>
        <w:rPr>
          <w:rFonts w:ascii="Calibri" w:cs="Calibri" w:eastAsia="Calibri" w:hAnsi="Calibri"/>
          <w:i/>
          <w:iCs/>
          <w:sz w:val="22"/>
          <w:szCs w:val="22"/>
        </w:rPr>
        <w:t xml:space="preserve">"Maharashtra CM and Nashik Mayor jointly announce shahi snan security plan." </w:t>
      </w:r>
      <w:r>
        <w:rPr>
          <w:rFonts w:ascii="Calibri" w:cs="Calibri" w:eastAsia="Calibri" w:hAnsi="Calibri"/>
          <w:sz w:val="22"/>
          <w:szCs w:val="22"/>
        </w:rPr>
        <w:t xml:space="preserve"> Stakeholders: </w:t>
      </w:r>
      <w:r>
        <w:rPr>
          <w:rFonts w:ascii="Consolas" w:cs="Consolas" w:eastAsia="Consolas" w:hAnsi="Consolas"/>
          <w:b w:val="false"/>
          <w:bCs w:val="false"/>
          <w:color w:val="2E4057"/>
          <w:sz w:val="20"/>
          <w:szCs w:val="20"/>
        </w:rPr>
        <w:t xml:space="preserve">stakeholder.gov_state</w:t>
      </w:r>
      <w:r>
        <w:rPr>
          <w:rFonts w:ascii="Calibri" w:cs="Calibri" w:eastAsia="Calibri" w:hAnsi="Calibri"/>
          <w:sz w:val="22"/>
          <w:szCs w:val="22"/>
        </w:rPr>
        <w:t xml:space="preserve"> and </w:t>
      </w:r>
      <w:r>
        <w:rPr>
          <w:rFonts w:ascii="Consolas" w:cs="Consolas" w:eastAsia="Consolas" w:hAnsi="Consolas"/>
          <w:b w:val="false"/>
          <w:bCs w:val="false"/>
          <w:color w:val="2E4057"/>
          <w:sz w:val="20"/>
          <w:szCs w:val="20"/>
        </w:rPr>
        <w:t xml:space="preserve">stakeholder.gov_municipal</w:t>
      </w:r>
      <w:r>
        <w:rPr>
          <w:rFonts w:ascii="Calibri" w:cs="Calibri" w:eastAsia="Calibri" w:hAnsi="Calibri"/>
          <w:sz w:val="22"/>
          <w:szCs w:val="22"/>
        </w:rPr>
        <w:t xml:space="preserve">. Two levels of government, both speaking with attribution.</w:t>
      </w:r>
    </w:p>
    <w:p>
      <w:pPr>
        <w:spacing w:after="60" w:before="60" w:line="320"/>
      </w:pPr>
      <w:r>
        <w:rPr>
          <w:rFonts w:ascii="Calibri" w:cs="Calibri" w:eastAsia="Calibri" w:hAnsi="Calibri"/>
          <w:b/>
          <w:bCs/>
          <w:sz w:val="22"/>
          <w:szCs w:val="22"/>
        </w:rPr>
        <w:t xml:space="preserve">Example C. </w:t>
      </w:r>
      <w:r>
        <w:rPr>
          <w:rFonts w:ascii="Calibri" w:cs="Calibri" w:eastAsia="Calibri" w:hAnsi="Calibri"/>
          <w:i/>
          <w:iCs/>
          <w:sz w:val="22"/>
          <w:szCs w:val="22"/>
        </w:rPr>
        <w:t xml:space="preserve">Op-ed by an environmental researcher critiquing the river-cleaning budget. </w:t>
      </w:r>
      <w:r>
        <w:rPr>
          <w:rFonts w:ascii="Calibri" w:cs="Calibri" w:eastAsia="Calibri" w:hAnsi="Calibri"/>
          <w:sz w:val="22"/>
          <w:szCs w:val="22"/>
        </w:rPr>
        <w:t xml:space="preserve"> Stakeholders: </w:t>
      </w:r>
      <w:r>
        <w:rPr>
          <w:rFonts w:ascii="Consolas" w:cs="Consolas" w:eastAsia="Consolas" w:hAnsi="Consolas"/>
          <w:b w:val="false"/>
          <w:bCs w:val="false"/>
          <w:color w:val="2E4057"/>
          <w:sz w:val="20"/>
          <w:szCs w:val="20"/>
        </w:rPr>
        <w:t xml:space="preserve">stakeholder.researcher</w:t>
      </w:r>
      <w:r>
        <w:rPr>
          <w:rFonts w:ascii="Calibri" w:cs="Calibri" w:eastAsia="Calibri" w:hAnsi="Calibri"/>
          <w:sz w:val="22"/>
          <w:szCs w:val="22"/>
        </w:rPr>
        <w:t xml:space="preserve"> and </w:t>
      </w:r>
      <w:r>
        <w:rPr>
          <w:rFonts w:ascii="Consolas" w:cs="Consolas" w:eastAsia="Consolas" w:hAnsi="Consolas"/>
          <w:b w:val="false"/>
          <w:bCs w:val="false"/>
          <w:color w:val="2E4057"/>
          <w:sz w:val="20"/>
          <w:szCs w:val="20"/>
        </w:rPr>
        <w:t xml:space="preserve">stakeholder.critic_whistleblower</w:t>
      </w:r>
      <w:r>
        <w:rPr>
          <w:rFonts w:ascii="Calibri" w:cs="Calibri" w:eastAsia="Calibri" w:hAnsi="Calibri"/>
          <w:sz w:val="22"/>
          <w:szCs w:val="22"/>
        </w:rPr>
        <w:t xml:space="preserve">. Academic authority used in a critical role.</w:t>
      </w:r>
    </w:p>
    <w:p>
      <w:pPr>
        <w:spacing w:after="60" w:before="60" w:line="320"/>
      </w:pPr>
      <w:r>
        <w:rPr>
          <w:rFonts w:ascii="Calibri" w:cs="Calibri" w:eastAsia="Calibri" w:hAnsi="Calibri"/>
          <w:b/>
          <w:bCs/>
          <w:sz w:val="22"/>
          <w:szCs w:val="22"/>
        </w:rPr>
        <w:t xml:space="preserve">Example D. </w:t>
      </w:r>
      <w:r>
        <w:rPr>
          <w:rFonts w:ascii="Calibri" w:cs="Calibri" w:eastAsia="Calibri" w:hAnsi="Calibri"/>
          <w:i/>
          <w:iCs/>
          <w:sz w:val="22"/>
          <w:szCs w:val="22"/>
        </w:rPr>
        <w:t xml:space="preserve">Documentary featuring interviews with pilgrims, sadhus, and NGO workers. </w:t>
      </w:r>
      <w:r>
        <w:rPr>
          <w:rFonts w:ascii="Calibri" w:cs="Calibri" w:eastAsia="Calibri" w:hAnsi="Calibri"/>
          <w:sz w:val="22"/>
          <w:szCs w:val="22"/>
        </w:rPr>
        <w:t xml:space="preserve"> Stakeholders: </w:t>
      </w:r>
      <w:r>
        <w:rPr>
          <w:rFonts w:ascii="Consolas" w:cs="Consolas" w:eastAsia="Consolas" w:hAnsi="Consolas"/>
          <w:b w:val="false"/>
          <w:bCs w:val="false"/>
          <w:color w:val="2E4057"/>
          <w:sz w:val="20"/>
          <w:szCs w:val="20"/>
        </w:rPr>
        <w:t xml:space="preserve">stakeholder.pilgrim</w:t>
      </w:r>
      <w:r>
        <w:rPr>
          <w:rFonts w:ascii="Calibri" w:cs="Calibri" w:eastAsia="Calibri" w:hAnsi="Calibri"/>
          <w:sz w:val="22"/>
          <w:szCs w:val="22"/>
        </w:rPr>
        <w:t xml:space="preserve">, </w:t>
      </w:r>
      <w:r>
        <w:rPr>
          <w:rFonts w:ascii="Consolas" w:cs="Consolas" w:eastAsia="Consolas" w:hAnsi="Consolas"/>
          <w:b w:val="false"/>
          <w:bCs w:val="false"/>
          <w:color w:val="2E4057"/>
          <w:sz w:val="20"/>
          <w:szCs w:val="20"/>
        </w:rPr>
        <w:t xml:space="preserve">stakeholder.akhada</w:t>
      </w:r>
      <w:r>
        <w:rPr>
          <w:rFonts w:ascii="Calibri" w:cs="Calibri" w:eastAsia="Calibri" w:hAnsi="Calibri"/>
          <w:sz w:val="22"/>
          <w:szCs w:val="22"/>
        </w:rPr>
        <w:t xml:space="preserve">, and </w:t>
      </w:r>
      <w:r>
        <w:rPr>
          <w:rFonts w:ascii="Consolas" w:cs="Consolas" w:eastAsia="Consolas" w:hAnsi="Consolas"/>
          <w:b w:val="false"/>
          <w:bCs w:val="false"/>
          <w:color w:val="2E4057"/>
          <w:sz w:val="20"/>
          <w:szCs w:val="20"/>
        </w:rPr>
        <w:t xml:space="preserve">stakeholder.civil_society</w:t>
      </w:r>
      <w:r>
        <w:rPr>
          <w:rFonts w:ascii="Calibri" w:cs="Calibri" w:eastAsia="Calibri" w:hAnsi="Calibri"/>
          <w:sz w:val="22"/>
          <w:szCs w:val="22"/>
        </w:rPr>
        <w:t xml:space="preserve">. Three distinct voices, each surfaced through a separate query.</w:t>
      </w:r>
    </w:p>
    <w:p>
      <w:r>
        <w:br w:type="page"/>
      </w:r>
    </w:p>
    <w:p>
      <w:pPr>
        <w:pStyle w:val="Heading1"/>
        <w:spacing w:after="180" w:before="360"/>
      </w:pPr>
      <w:r>
        <w:rPr>
          <w:rFonts w:ascii="Calibri" w:cs="Calibri" w:eastAsia="Calibri" w:hAnsi="Calibri"/>
          <w:b/>
          <w:bCs/>
          <w:color w:val="2E4057"/>
          <w:sz w:val="36"/>
          <w:szCs w:val="36"/>
        </w:rPr>
        <w:t xml:space="preserve">6. Axis 4 — Geography</w:t>
      </w:r>
    </w:p>
    <w:p>
      <w:pPr>
        <w:spacing w:after="60" w:before="60" w:line="320"/>
      </w:pPr>
      <w:r>
        <w:rPr>
          <w:rFonts w:ascii="Calibri" w:cs="Calibri" w:eastAsia="Calibri" w:hAnsi="Calibri"/>
          <w:sz w:val="22"/>
          <w:szCs w:val="22"/>
        </w:rPr>
        <w:t xml:space="preserve">Geography answers: where did this happen, or what place is this about? Geography has two sub-parts. Edition tags answer "which Kumbh event" — and every content item gets at least one. Place tags answer "where within that event" — and items get zero or more, depending on specificity.</w:t>
      </w:r>
    </w:p>
    <w:p>
      <w:pPr>
        <w:pStyle w:val="Heading3"/>
        <w:spacing w:after="110" w:before="220"/>
      </w:pPr>
      <w:r>
        <w:rPr>
          <w:rFonts w:ascii="Calibri" w:cs="Calibri" w:eastAsia="Calibri" w:hAnsi="Calibri"/>
          <w:b/>
          <w:bCs/>
          <w:color w:val="C8553D"/>
          <w:sz w:val="26"/>
          <w:szCs w:val="26"/>
        </w:rPr>
        <w:t xml:space="preserve">Why this axis matters</w:t>
      </w:r>
    </w:p>
    <w:p>
      <w:pPr>
        <w:spacing w:after="60" w:before="60" w:line="320"/>
      </w:pPr>
      <w:r>
        <w:rPr>
          <w:rFonts w:ascii="Calibri" w:cs="Calibri" w:eastAsia="Calibri" w:hAnsi="Calibri"/>
          <w:sz w:val="22"/>
          <w:szCs w:val="22"/>
        </w:rPr>
        <w:t xml:space="preserve">One of the most valuable comparisons your archive can offer is Ramkund-2015 versus Ramkund-2027. To enable it, geography must be tagged specifically — not just at city level. Most public archives stop at "Nashik." This taxonomy goes down to the ghat. That granularity is the difference between a research archive and a news search engine.</w:t>
      </w:r>
    </w:p>
    <w:p>
      <w:pPr>
        <w:pStyle w:val="Heading3"/>
        <w:spacing w:after="110" w:before="220"/>
      </w:pPr>
      <w:r>
        <w:rPr>
          <w:rFonts w:ascii="Calibri" w:cs="Calibri" w:eastAsia="Calibri" w:hAnsi="Calibri"/>
          <w:b/>
          <w:bCs/>
          <w:color w:val="C8553D"/>
          <w:sz w:val="26"/>
          <w:szCs w:val="26"/>
        </w:rPr>
        <w:t xml:space="preserve">Edition tags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rPr>
          <w:tblHeader/>
        </w:trPr>
        <w:tc>
          <w:tcPr>
            <w:tcW w:type="dxa" w:w="3000"/>
            <w:tcBorders>
              <w:top w:val="single" w:color="D1D5DB" w:sz="4"/>
              <w:left w:val="single" w:color="D1D5DB" w:sz="4"/>
              <w:bottom w:val="single" w:color="D1D5DB" w:sz="4"/>
              <w:right w:val="single" w:color="D1D5DB" w:sz="4"/>
            </w:tcBorders>
            <w:shd w:fill="2E4057" w:val="clear"/>
            <w:tcMar>
              <w:top w:type="dxa" w:w="120"/>
              <w:left w:type="dxa" w:w="140"/>
              <w:bottom w:type="dxa" w:w="120"/>
              <w:right w:type="dxa" w:w="140"/>
            </w:tcMar>
            <w:vAlign w:val="center"/>
          </w:tcPr>
          <w:p>
            <w:pPr>
              <w:spacing w:after="0" w:before="0"/>
            </w:pPr>
            <w:r>
              <w:rPr>
                <w:rFonts w:ascii="Calibri" w:cs="Calibri" w:eastAsia="Calibri" w:hAnsi="Calibri"/>
                <w:b/>
                <w:bCs/>
                <w:color w:val="FFFFFF"/>
                <w:sz w:val="22"/>
                <w:szCs w:val="22"/>
              </w:rPr>
              <w:t xml:space="preserve">Tag ID</w:t>
            </w:r>
          </w:p>
        </w:tc>
        <w:tc>
          <w:tcPr>
            <w:tcW w:type="dxa" w:w="2400"/>
            <w:tcBorders>
              <w:top w:val="single" w:color="D1D5DB" w:sz="4"/>
              <w:left w:val="single" w:color="D1D5DB" w:sz="4"/>
              <w:bottom w:val="single" w:color="D1D5DB" w:sz="4"/>
              <w:right w:val="single" w:color="D1D5DB" w:sz="4"/>
            </w:tcBorders>
            <w:shd w:fill="2E4057" w:val="clear"/>
            <w:tcMar>
              <w:top w:type="dxa" w:w="120"/>
              <w:left w:type="dxa" w:w="140"/>
              <w:bottom w:type="dxa" w:w="120"/>
              <w:right w:type="dxa" w:w="140"/>
            </w:tcMar>
            <w:vAlign w:val="center"/>
          </w:tcPr>
          <w:p>
            <w:pPr>
              <w:spacing w:after="0" w:before="0"/>
            </w:pPr>
            <w:r>
              <w:rPr>
                <w:rFonts w:ascii="Calibri" w:cs="Calibri" w:eastAsia="Calibri" w:hAnsi="Calibri"/>
                <w:b/>
                <w:bCs/>
                <w:color w:val="FFFFFF"/>
                <w:sz w:val="22"/>
                <w:szCs w:val="22"/>
              </w:rPr>
              <w:t xml:space="preserve">Display Name</w:t>
            </w:r>
          </w:p>
        </w:tc>
        <w:tc>
          <w:tcPr>
            <w:tcW w:type="dxa" w:w="3960"/>
            <w:tcBorders>
              <w:top w:val="single" w:color="D1D5DB" w:sz="4"/>
              <w:left w:val="single" w:color="D1D5DB" w:sz="4"/>
              <w:bottom w:val="single" w:color="D1D5DB" w:sz="4"/>
              <w:right w:val="single" w:color="D1D5DB" w:sz="4"/>
            </w:tcBorders>
            <w:shd w:fill="2E4057" w:val="clear"/>
            <w:tcMar>
              <w:top w:type="dxa" w:w="120"/>
              <w:left w:type="dxa" w:w="140"/>
              <w:bottom w:type="dxa" w:w="120"/>
              <w:right w:type="dxa" w:w="140"/>
            </w:tcMar>
            <w:vAlign w:val="center"/>
          </w:tcPr>
          <w:p>
            <w:pPr>
              <w:spacing w:after="0" w:before="0"/>
            </w:pPr>
            <w:r>
              <w:rPr>
                <w:rFonts w:ascii="Calibri" w:cs="Calibri" w:eastAsia="Calibri" w:hAnsi="Calibri"/>
                <w:b/>
                <w:bCs/>
                <w:color w:val="FFFFFF"/>
                <w:sz w:val="22"/>
                <w:szCs w:val="22"/>
              </w:rPr>
              <w:t xml:space="preserve">Definition</w:t>
            </w:r>
          </w:p>
        </w:tc>
      </w:tr>
      <w:tr>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onsolas" w:cs="Consolas" w:eastAsia="Consolas" w:hAnsi="Consolas"/>
                <w:b w:val="false"/>
                <w:bCs w:val="false"/>
                <w:color w:val="2E4057"/>
                <w:sz w:val="20"/>
                <w:szCs w:val="20"/>
              </w:rPr>
              <w:t xml:space="preserve">edition.nashik_2015</w:t>
            </w:r>
          </w:p>
        </w:tc>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bCs/>
                <w:color w:val="000000"/>
                <w:sz w:val="22"/>
                <w:szCs w:val="22"/>
              </w:rPr>
              <w:t xml:space="preserve">Nashik Simhastha 2015</w:t>
            </w:r>
          </w:p>
        </w:tc>
        <w:tc>
          <w:tcPr>
            <w:tcW w:type="dxa" w:w="39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val="false"/>
                <w:bCs w:val="false"/>
                <w:color w:val="000000"/>
                <w:sz w:val="22"/>
                <w:szCs w:val="22"/>
              </w:rPr>
              <w:t xml:space="preserve">The 2015 Nashik–Trimbakeshwar Simhastha Kumbh.</w:t>
            </w:r>
          </w:p>
        </w:tc>
      </w:tr>
      <w:tr>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onsolas" w:cs="Consolas" w:eastAsia="Consolas" w:hAnsi="Consolas"/>
                <w:b w:val="false"/>
                <w:bCs w:val="false"/>
                <w:color w:val="2E4057"/>
                <w:sz w:val="20"/>
                <w:szCs w:val="20"/>
              </w:rPr>
              <w:t xml:space="preserve">edition.prayagraj_2025</w:t>
            </w:r>
          </w:p>
        </w:tc>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bCs/>
                <w:color w:val="000000"/>
                <w:sz w:val="22"/>
                <w:szCs w:val="22"/>
              </w:rPr>
              <w:t xml:space="preserve">Maha Kumbh Prayagraj 2025</w:t>
            </w:r>
          </w:p>
        </w:tc>
        <w:tc>
          <w:tcPr>
            <w:tcW w:type="dxa" w:w="39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val="false"/>
                <w:bCs w:val="false"/>
                <w:color w:val="000000"/>
                <w:sz w:val="22"/>
                <w:szCs w:val="22"/>
              </w:rPr>
              <w:t xml:space="preserve">The 2025 Maha Kumbh held at Prayagraj.</w:t>
            </w:r>
          </w:p>
        </w:tc>
      </w:tr>
      <w:tr>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onsolas" w:cs="Consolas" w:eastAsia="Consolas" w:hAnsi="Consolas"/>
                <w:b w:val="false"/>
                <w:bCs w:val="false"/>
                <w:color w:val="2E4057"/>
                <w:sz w:val="20"/>
                <w:szCs w:val="20"/>
              </w:rPr>
              <w:t xml:space="preserve">edition.nashik_2027</w:t>
            </w:r>
          </w:p>
        </w:tc>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bCs/>
                <w:color w:val="000000"/>
                <w:sz w:val="22"/>
                <w:szCs w:val="22"/>
              </w:rPr>
              <w:t xml:space="preserve">Nashik Simhastha 2027</w:t>
            </w:r>
          </w:p>
        </w:tc>
        <w:tc>
          <w:tcPr>
            <w:tcW w:type="dxa" w:w="39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val="false"/>
                <w:bCs w:val="false"/>
                <w:color w:val="000000"/>
                <w:sz w:val="22"/>
                <w:szCs w:val="22"/>
              </w:rPr>
              <w:t xml:space="preserve">The upcoming 2027 Nashik Simhastha — the live monitoring target.</w:t>
            </w:r>
          </w:p>
        </w:tc>
      </w:tr>
      <w:tr>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onsolas" w:cs="Consolas" w:eastAsia="Consolas" w:hAnsi="Consolas"/>
                <w:b w:val="false"/>
                <w:bCs w:val="false"/>
                <w:color w:val="2E4057"/>
                <w:sz w:val="20"/>
                <w:szCs w:val="20"/>
              </w:rPr>
              <w:t xml:space="preserve">edition.historical_other</w:t>
            </w:r>
          </w:p>
        </w:tc>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bCs/>
                <w:color w:val="000000"/>
                <w:sz w:val="22"/>
                <w:szCs w:val="22"/>
              </w:rPr>
              <w:t xml:space="preserve">Other Historical Kumbh</w:t>
            </w:r>
          </w:p>
        </w:tc>
        <w:tc>
          <w:tcPr>
            <w:tcW w:type="dxa" w:w="39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val="false"/>
                <w:bCs w:val="false"/>
                <w:color w:val="000000"/>
                <w:sz w:val="22"/>
                <w:szCs w:val="22"/>
              </w:rPr>
              <w:t xml:space="preserve">Earlier Kumbhs referenced for comparative or background context (2003 Nashik, 2013 Allahabad, 2016 Ujjain, 2021 Haridwar).</w:t>
            </w:r>
          </w:p>
        </w:tc>
      </w:tr>
    </w:tbl>
    <w:p>
      <w:pPr>
        <w:spacing w:after="80" w:before="80"/>
      </w:pPr>
      <w:r>
        <w:t xml:space="preserve"/>
      </w:r>
    </w:p>
    <w:p>
      <w:pPr>
        <w:spacing w:after="60" w:before="60" w:line="320"/>
      </w:pPr>
      <w:r>
        <w:rPr>
          <w:rFonts w:ascii="Calibri" w:cs="Calibri" w:eastAsia="Calibri" w:hAnsi="Calibri"/>
          <w:sz w:val="22"/>
          <w:szCs w:val="22"/>
        </w:rPr>
        <w:t xml:space="preserve">Almost every item gets exactly one edition. Items that compare editions get more than one — for example, an article titled "Lessons from 2015: what Nashik must do differently in 2027" gets edition.nashik_2015 and edition.nashik_2027.</w:t>
      </w:r>
    </w:p>
    <w:p>
      <w:pPr>
        <w:pStyle w:val="Heading3"/>
        <w:spacing w:after="110" w:before="220"/>
      </w:pPr>
      <w:r>
        <w:rPr>
          <w:rFonts w:ascii="Calibri" w:cs="Calibri" w:eastAsia="Calibri" w:hAnsi="Calibri"/>
          <w:b/>
          <w:bCs/>
          <w:color w:val="C8553D"/>
          <w:sz w:val="26"/>
          <w:szCs w:val="26"/>
        </w:rPr>
        <w:t xml:space="preserve">Place tags — Nashik (sample of the gazetteer)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rPr>
          <w:tblHeader/>
        </w:trPr>
        <w:tc>
          <w:tcPr>
            <w:tcW w:type="dxa" w:w="3000"/>
            <w:tcBorders>
              <w:top w:val="single" w:color="D1D5DB" w:sz="4"/>
              <w:left w:val="single" w:color="D1D5DB" w:sz="4"/>
              <w:bottom w:val="single" w:color="D1D5DB" w:sz="4"/>
              <w:right w:val="single" w:color="D1D5DB" w:sz="4"/>
            </w:tcBorders>
            <w:shd w:fill="2E4057" w:val="clear"/>
            <w:tcMar>
              <w:top w:type="dxa" w:w="120"/>
              <w:left w:type="dxa" w:w="140"/>
              <w:bottom w:type="dxa" w:w="120"/>
              <w:right w:type="dxa" w:w="140"/>
            </w:tcMar>
            <w:vAlign w:val="center"/>
          </w:tcPr>
          <w:p>
            <w:pPr>
              <w:spacing w:after="0" w:before="0"/>
            </w:pPr>
            <w:r>
              <w:rPr>
                <w:rFonts w:ascii="Calibri" w:cs="Calibri" w:eastAsia="Calibri" w:hAnsi="Calibri"/>
                <w:b/>
                <w:bCs/>
                <w:color w:val="FFFFFF"/>
                <w:sz w:val="22"/>
                <w:szCs w:val="22"/>
              </w:rPr>
              <w:t xml:space="preserve">Tag ID</w:t>
            </w:r>
          </w:p>
        </w:tc>
        <w:tc>
          <w:tcPr>
            <w:tcW w:type="dxa" w:w="2400"/>
            <w:tcBorders>
              <w:top w:val="single" w:color="D1D5DB" w:sz="4"/>
              <w:left w:val="single" w:color="D1D5DB" w:sz="4"/>
              <w:bottom w:val="single" w:color="D1D5DB" w:sz="4"/>
              <w:right w:val="single" w:color="D1D5DB" w:sz="4"/>
            </w:tcBorders>
            <w:shd w:fill="2E4057" w:val="clear"/>
            <w:tcMar>
              <w:top w:type="dxa" w:w="120"/>
              <w:left w:type="dxa" w:w="140"/>
              <w:bottom w:type="dxa" w:w="120"/>
              <w:right w:type="dxa" w:w="140"/>
            </w:tcMar>
            <w:vAlign w:val="center"/>
          </w:tcPr>
          <w:p>
            <w:pPr>
              <w:spacing w:after="0" w:before="0"/>
            </w:pPr>
            <w:r>
              <w:rPr>
                <w:rFonts w:ascii="Calibri" w:cs="Calibri" w:eastAsia="Calibri" w:hAnsi="Calibri"/>
                <w:b/>
                <w:bCs/>
                <w:color w:val="FFFFFF"/>
                <w:sz w:val="22"/>
                <w:szCs w:val="22"/>
              </w:rPr>
              <w:t xml:space="preserve">Place</w:t>
            </w:r>
          </w:p>
        </w:tc>
        <w:tc>
          <w:tcPr>
            <w:tcW w:type="dxa" w:w="3960"/>
            <w:tcBorders>
              <w:top w:val="single" w:color="D1D5DB" w:sz="4"/>
              <w:left w:val="single" w:color="D1D5DB" w:sz="4"/>
              <w:bottom w:val="single" w:color="D1D5DB" w:sz="4"/>
              <w:right w:val="single" w:color="D1D5DB" w:sz="4"/>
            </w:tcBorders>
            <w:shd w:fill="2E4057" w:val="clear"/>
            <w:tcMar>
              <w:top w:type="dxa" w:w="120"/>
              <w:left w:type="dxa" w:w="140"/>
              <w:bottom w:type="dxa" w:w="120"/>
              <w:right w:type="dxa" w:w="140"/>
            </w:tcMar>
            <w:vAlign w:val="center"/>
          </w:tcPr>
          <w:p>
            <w:pPr>
              <w:spacing w:after="0" w:before="0"/>
            </w:pPr>
            <w:r>
              <w:rPr>
                <w:rFonts w:ascii="Calibri" w:cs="Calibri" w:eastAsia="Calibri" w:hAnsi="Calibri"/>
                <w:b/>
                <w:bCs/>
                <w:color w:val="FFFFFF"/>
                <w:sz w:val="22"/>
                <w:szCs w:val="22"/>
              </w:rPr>
              <w:t xml:space="preserve">Notes</w:t>
            </w:r>
          </w:p>
        </w:tc>
      </w:tr>
      <w:tr>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onsolas" w:cs="Consolas" w:eastAsia="Consolas" w:hAnsi="Consolas"/>
                <w:b w:val="false"/>
                <w:bCs w:val="false"/>
                <w:color w:val="2E4057"/>
                <w:sz w:val="20"/>
                <w:szCs w:val="20"/>
              </w:rPr>
              <w:t xml:space="preserve">place.nashik.ramkund</w:t>
            </w:r>
          </w:p>
        </w:tc>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bCs/>
                <w:color w:val="000000"/>
                <w:sz w:val="22"/>
                <w:szCs w:val="22"/>
              </w:rPr>
              <w:t xml:space="preserve">Ramkund</w:t>
            </w:r>
          </w:p>
        </w:tc>
        <w:tc>
          <w:tcPr>
            <w:tcW w:type="dxa" w:w="39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val="false"/>
                <w:bCs w:val="false"/>
                <w:color w:val="000000"/>
                <w:sz w:val="22"/>
                <w:szCs w:val="22"/>
              </w:rPr>
              <w:t xml:space="preserve">Main bathing ghat on the Godavari, central to Nashik Kumbh.</w:t>
            </w:r>
          </w:p>
        </w:tc>
      </w:tr>
      <w:tr>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onsolas" w:cs="Consolas" w:eastAsia="Consolas" w:hAnsi="Consolas"/>
                <w:b w:val="false"/>
                <w:bCs w:val="false"/>
                <w:color w:val="2E4057"/>
                <w:sz w:val="20"/>
                <w:szCs w:val="20"/>
              </w:rPr>
              <w:t xml:space="preserve">place.nashik.tapovan</w:t>
            </w:r>
          </w:p>
        </w:tc>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bCs/>
                <w:color w:val="000000"/>
                <w:sz w:val="22"/>
                <w:szCs w:val="22"/>
              </w:rPr>
              <w:t xml:space="preserve">Tapovan</w:t>
            </w:r>
          </w:p>
        </w:tc>
        <w:tc>
          <w:tcPr>
            <w:tcW w:type="dxa" w:w="39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val="false"/>
                <w:bCs w:val="false"/>
                <w:color w:val="000000"/>
                <w:sz w:val="22"/>
                <w:szCs w:val="22"/>
              </w:rPr>
              <w:t xml:space="preserve">Camping area for pilgrims and sadhus, north of central Nashik.</w:t>
            </w:r>
          </w:p>
        </w:tc>
      </w:tr>
      <w:tr>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onsolas" w:cs="Consolas" w:eastAsia="Consolas" w:hAnsi="Consolas"/>
                <w:b w:val="false"/>
                <w:bCs w:val="false"/>
                <w:color w:val="2E4057"/>
                <w:sz w:val="20"/>
                <w:szCs w:val="20"/>
              </w:rPr>
              <w:t xml:space="preserve">place.nashik.sadhugram</w:t>
            </w:r>
          </w:p>
        </w:tc>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bCs/>
                <w:color w:val="000000"/>
                <w:sz w:val="22"/>
                <w:szCs w:val="22"/>
              </w:rPr>
              <w:t xml:space="preserve">Sadhugram</w:t>
            </w:r>
          </w:p>
        </w:tc>
        <w:tc>
          <w:tcPr>
            <w:tcW w:type="dxa" w:w="39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val="false"/>
                <w:bCs w:val="false"/>
                <w:color w:val="000000"/>
                <w:sz w:val="22"/>
                <w:szCs w:val="22"/>
              </w:rPr>
              <w:t xml:space="preserve">Temporary city built for sadhus during Kumbh.</w:t>
            </w:r>
          </w:p>
        </w:tc>
      </w:tr>
      <w:tr>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onsolas" w:cs="Consolas" w:eastAsia="Consolas" w:hAnsi="Consolas"/>
                <w:b w:val="false"/>
                <w:bCs w:val="false"/>
                <w:color w:val="2E4057"/>
                <w:sz w:val="20"/>
                <w:szCs w:val="20"/>
              </w:rPr>
              <w:t xml:space="preserve">place.nashik.panchavati</w:t>
            </w:r>
          </w:p>
        </w:tc>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bCs/>
                <w:color w:val="000000"/>
                <w:sz w:val="22"/>
                <w:szCs w:val="22"/>
              </w:rPr>
              <w:t xml:space="preserve">Panchavati</w:t>
            </w:r>
          </w:p>
        </w:tc>
        <w:tc>
          <w:tcPr>
            <w:tcW w:type="dxa" w:w="39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val="false"/>
                <w:bCs w:val="false"/>
                <w:color w:val="000000"/>
                <w:sz w:val="22"/>
                <w:szCs w:val="22"/>
              </w:rPr>
              <w:t xml:space="preserve">Historic religious precinct surrounding Ramkund.</w:t>
            </w:r>
          </w:p>
        </w:tc>
      </w:tr>
      <w:tr>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onsolas" w:cs="Consolas" w:eastAsia="Consolas" w:hAnsi="Consolas"/>
                <w:b w:val="false"/>
                <w:bCs w:val="false"/>
                <w:color w:val="2E4057"/>
                <w:sz w:val="20"/>
                <w:szCs w:val="20"/>
              </w:rPr>
              <w:t xml:space="preserve">place.nashik.kapaleshwar</w:t>
            </w:r>
          </w:p>
        </w:tc>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bCs/>
                <w:color w:val="000000"/>
                <w:sz w:val="22"/>
                <w:szCs w:val="22"/>
              </w:rPr>
              <w:t xml:space="preserve">Kapaleshwar Temple</w:t>
            </w:r>
          </w:p>
        </w:tc>
        <w:tc>
          <w:tcPr>
            <w:tcW w:type="dxa" w:w="39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val="false"/>
                <w:bCs w:val="false"/>
                <w:color w:val="000000"/>
                <w:sz w:val="22"/>
                <w:szCs w:val="22"/>
              </w:rPr>
              <w:t xml:space="preserve">Major Shiva temple complex within Panchavati.</w:t>
            </w:r>
          </w:p>
        </w:tc>
      </w:tr>
      <w:tr>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onsolas" w:cs="Consolas" w:eastAsia="Consolas" w:hAnsi="Consolas"/>
                <w:b w:val="false"/>
                <w:bCs w:val="false"/>
                <w:color w:val="2E4057"/>
                <w:sz w:val="20"/>
                <w:szCs w:val="20"/>
              </w:rPr>
              <w:t xml:space="preserve">place.trimbakeshwar.temple</w:t>
            </w:r>
          </w:p>
        </w:tc>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bCs/>
                <w:color w:val="000000"/>
                <w:sz w:val="22"/>
                <w:szCs w:val="22"/>
              </w:rPr>
              <w:t xml:space="preserve">Trimbakeshwar Mahadev Temple</w:t>
            </w:r>
          </w:p>
        </w:tc>
        <w:tc>
          <w:tcPr>
            <w:tcW w:type="dxa" w:w="39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val="false"/>
                <w:bCs w:val="false"/>
                <w:color w:val="000000"/>
                <w:sz w:val="22"/>
                <w:szCs w:val="22"/>
              </w:rPr>
              <w:t xml:space="preserve">One of the twelve Jyotirlingas; key Kumbh location.</w:t>
            </w:r>
          </w:p>
        </w:tc>
      </w:tr>
      <w:tr>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onsolas" w:cs="Consolas" w:eastAsia="Consolas" w:hAnsi="Consolas"/>
                <w:b w:val="false"/>
                <w:bCs w:val="false"/>
                <w:color w:val="2E4057"/>
                <w:sz w:val="20"/>
                <w:szCs w:val="20"/>
              </w:rPr>
              <w:t xml:space="preserve">place.trimbakeshwar.kushavarta</w:t>
            </w:r>
          </w:p>
        </w:tc>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bCs/>
                <w:color w:val="000000"/>
                <w:sz w:val="22"/>
                <w:szCs w:val="22"/>
              </w:rPr>
              <w:t xml:space="preserve">Kushavarta Kund</w:t>
            </w:r>
          </w:p>
        </w:tc>
        <w:tc>
          <w:tcPr>
            <w:tcW w:type="dxa" w:w="39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val="false"/>
                <w:bCs w:val="false"/>
                <w:color w:val="000000"/>
                <w:sz w:val="22"/>
                <w:szCs w:val="22"/>
              </w:rPr>
              <w:t xml:space="preserve">Source kund of the Godavari at Trimbakeshwar.</w:t>
            </w:r>
          </w:p>
        </w:tc>
      </w:tr>
      <w:tr>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onsolas" w:cs="Consolas" w:eastAsia="Consolas" w:hAnsi="Consolas"/>
                <w:b w:val="false"/>
                <w:bCs w:val="false"/>
                <w:color w:val="2E4057"/>
                <w:sz w:val="20"/>
                <w:szCs w:val="20"/>
              </w:rPr>
              <w:t xml:space="preserve">place.nashik.gangapur_dam</w:t>
            </w:r>
          </w:p>
        </w:tc>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bCs/>
                <w:color w:val="000000"/>
                <w:sz w:val="22"/>
                <w:szCs w:val="22"/>
              </w:rPr>
              <w:t xml:space="preserve">Gangapur Dam</w:t>
            </w:r>
          </w:p>
        </w:tc>
        <w:tc>
          <w:tcPr>
            <w:tcW w:type="dxa" w:w="39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val="false"/>
                <w:bCs w:val="false"/>
                <w:color w:val="000000"/>
                <w:sz w:val="22"/>
                <w:szCs w:val="22"/>
              </w:rPr>
              <w:t xml:space="preserve">Upstream dam controlling river flow into Nashik.</w:t>
            </w:r>
          </w:p>
        </w:tc>
      </w:tr>
      <w:tr>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onsolas" w:cs="Consolas" w:eastAsia="Consolas" w:hAnsi="Consolas"/>
                <w:b w:val="false"/>
                <w:bCs w:val="false"/>
                <w:color w:val="2E4057"/>
                <w:sz w:val="20"/>
                <w:szCs w:val="20"/>
              </w:rPr>
              <w:t xml:space="preserve">place.nashik.general</w:t>
            </w:r>
          </w:p>
        </w:tc>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bCs/>
                <w:color w:val="000000"/>
                <w:sz w:val="22"/>
                <w:szCs w:val="22"/>
              </w:rPr>
              <w:t xml:space="preserve">Nashik (general)</w:t>
            </w:r>
          </w:p>
        </w:tc>
        <w:tc>
          <w:tcPr>
            <w:tcW w:type="dxa" w:w="39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val="false"/>
                <w:bCs w:val="false"/>
                <w:color w:val="000000"/>
                <w:sz w:val="22"/>
                <w:szCs w:val="22"/>
              </w:rPr>
              <w:t xml:space="preserve">Fallback tag when content concerns Nashik but no specific place is identified.</w:t>
            </w:r>
          </w:p>
        </w:tc>
      </w:tr>
    </w:tbl>
    <w:p>
      <w:pPr>
        <w:spacing w:after="80" w:before="80"/>
      </w:pPr>
      <w:r>
        <w:t xml:space="preserve"/>
      </w:r>
    </w:p>
    <w:p>
      <w:pPr>
        <w:spacing w:after="60" w:before="60" w:line="320"/>
      </w:pPr>
      <w:r>
        <w:rPr>
          <w:rFonts w:ascii="Calibri" w:cs="Calibri" w:eastAsia="Calibri" w:hAnsi="Calibri"/>
          <w:sz w:val="22"/>
          <w:szCs w:val="22"/>
        </w:rPr>
        <w:t xml:space="preserve">The full Nashik gazetteer will hold 80 to 120 locations. The Prayagraj gazetteer adds Triveni Sangam, Akshayavat, Bade Hanuman Temple, and the major ghats. Each place has latitude and longitude attached in the database, which is what makes the dashboard map view possible.</w:t>
      </w:r>
    </w:p>
    <w:p>
      <w:pPr>
        <w:pStyle w:val="Heading3"/>
        <w:spacing w:after="110" w:before="220"/>
      </w:pPr>
      <w:r>
        <w:rPr>
          <w:rFonts w:ascii="Calibri" w:cs="Calibri" w:eastAsia="Calibri" w:hAnsi="Calibri"/>
          <w:b/>
          <w:bCs/>
          <w:color w:val="C8553D"/>
          <w:sz w:val="26"/>
          <w:szCs w:val="26"/>
        </w:rPr>
        <w:t xml:space="preserve">The fallback place tag matters</w:t>
      </w:r>
    </w:p>
    <w:p>
      <w:pPr>
        <w:spacing w:after="60" w:before="60" w:line="320"/>
      </w:pPr>
      <w:r>
        <w:rPr>
          <w:rFonts w:ascii="Calibri" w:cs="Calibri" w:eastAsia="Calibri" w:hAnsi="Calibri"/>
          <w:sz w:val="22"/>
          <w:szCs w:val="22"/>
        </w:rPr>
        <w:t xml:space="preserve">Always use the place.&lt;city&gt;.general tag for content that concerns an edition but does not specify a location. Never leave the place tags empty just because the article is geographically vague. The fallback tag is what "geographically vague" looks like in the schema — and it lets the dashboard show such content correctly under the city heading without it disappearing from city-level views.</w:t>
      </w:r>
    </w:p>
    <w:p>
      <w:pPr>
        <w:pStyle w:val="Heading3"/>
        <w:spacing w:after="110" w:before="220"/>
      </w:pPr>
      <w:r>
        <w:rPr>
          <w:rFonts w:ascii="Calibri" w:cs="Calibri" w:eastAsia="Calibri" w:hAnsi="Calibri"/>
          <w:b/>
          <w:bCs/>
          <w:color w:val="C8553D"/>
          <w:sz w:val="26"/>
          <w:szCs w:val="26"/>
        </w:rPr>
        <w:t xml:space="preserve">Geography in action</w:t>
      </w:r>
    </w:p>
    <w:p>
      <w:pPr>
        <w:spacing w:after="60" w:before="60" w:line="320"/>
      </w:pPr>
      <w:r>
        <w:rPr>
          <w:rFonts w:ascii="Calibri" w:cs="Calibri" w:eastAsia="Calibri" w:hAnsi="Calibri"/>
          <w:b/>
          <w:bCs/>
          <w:sz w:val="22"/>
          <w:szCs w:val="22"/>
        </w:rPr>
        <w:t xml:space="preserve">Example A. </w:t>
      </w:r>
      <w:r>
        <w:rPr>
          <w:rFonts w:ascii="Calibri" w:cs="Calibri" w:eastAsia="Calibri" w:hAnsi="Calibri"/>
          <w:i/>
          <w:iCs/>
          <w:sz w:val="22"/>
          <w:szCs w:val="22"/>
        </w:rPr>
        <w:t xml:space="preserve">"Pilgrim drowns near Ramkund — third such incident this week." </w:t>
      </w:r>
      <w:r>
        <w:rPr>
          <w:rFonts w:ascii="Calibri" w:cs="Calibri" w:eastAsia="Calibri" w:hAnsi="Calibri"/>
          <w:sz w:val="22"/>
          <w:szCs w:val="22"/>
        </w:rPr>
        <w:t xml:space="preserve"> Geography: </w:t>
      </w:r>
      <w:r>
        <w:rPr>
          <w:rFonts w:ascii="Consolas" w:cs="Consolas" w:eastAsia="Consolas" w:hAnsi="Consolas"/>
          <w:b w:val="false"/>
          <w:bCs w:val="false"/>
          <w:color w:val="2E4057"/>
          <w:sz w:val="20"/>
          <w:szCs w:val="20"/>
        </w:rPr>
        <w:t xml:space="preserve">edition.nashik_2027</w:t>
      </w:r>
      <w:r>
        <w:rPr>
          <w:rFonts w:ascii="Calibri" w:cs="Calibri" w:eastAsia="Calibri" w:hAnsi="Calibri"/>
          <w:sz w:val="22"/>
          <w:szCs w:val="22"/>
        </w:rPr>
        <w:t xml:space="preserve"> and </w:t>
      </w:r>
      <w:r>
        <w:rPr>
          <w:rFonts w:ascii="Consolas" w:cs="Consolas" w:eastAsia="Consolas" w:hAnsi="Consolas"/>
          <w:b w:val="false"/>
          <w:bCs w:val="false"/>
          <w:color w:val="2E4057"/>
          <w:sz w:val="20"/>
          <w:szCs w:val="20"/>
        </w:rPr>
        <w:t xml:space="preserve">place.nashik.ramkund</w:t>
      </w:r>
      <w:r>
        <w:rPr>
          <w:rFonts w:ascii="Calibri" w:cs="Calibri" w:eastAsia="Calibri" w:hAnsi="Calibri"/>
          <w:sz w:val="22"/>
          <w:szCs w:val="22"/>
        </w:rPr>
        <w:t xml:space="preserve">.</w:t>
      </w:r>
    </w:p>
    <w:p>
      <w:pPr>
        <w:spacing w:after="60" w:before="60" w:line="320"/>
      </w:pPr>
      <w:r>
        <w:rPr>
          <w:rFonts w:ascii="Calibri" w:cs="Calibri" w:eastAsia="Calibri" w:hAnsi="Calibri"/>
          <w:b/>
          <w:bCs/>
          <w:sz w:val="22"/>
          <w:szCs w:val="22"/>
        </w:rPr>
        <w:t xml:space="preserve">Example B. </w:t>
      </w:r>
      <w:r>
        <w:rPr>
          <w:rFonts w:ascii="Calibri" w:cs="Calibri" w:eastAsia="Calibri" w:hAnsi="Calibri"/>
          <w:i/>
          <w:iCs/>
          <w:sz w:val="22"/>
          <w:szCs w:val="22"/>
        </w:rPr>
        <w:t xml:space="preserve">"Maharashtra govt allocates ₹2,378 crore for Simhastha 2027." </w:t>
      </w:r>
      <w:r>
        <w:rPr>
          <w:rFonts w:ascii="Calibri" w:cs="Calibri" w:eastAsia="Calibri" w:hAnsi="Calibri"/>
          <w:sz w:val="22"/>
          <w:szCs w:val="22"/>
        </w:rPr>
        <w:t xml:space="preserve"> Geography: </w:t>
      </w:r>
      <w:r>
        <w:rPr>
          <w:rFonts w:ascii="Consolas" w:cs="Consolas" w:eastAsia="Consolas" w:hAnsi="Consolas"/>
          <w:b w:val="false"/>
          <w:bCs w:val="false"/>
          <w:color w:val="2E4057"/>
          <w:sz w:val="20"/>
          <w:szCs w:val="20"/>
        </w:rPr>
        <w:t xml:space="preserve">edition.nashik_2027</w:t>
      </w:r>
      <w:r>
        <w:rPr>
          <w:rFonts w:ascii="Calibri" w:cs="Calibri" w:eastAsia="Calibri" w:hAnsi="Calibri"/>
          <w:sz w:val="22"/>
          <w:szCs w:val="22"/>
        </w:rPr>
        <w:t xml:space="preserve"> and </w:t>
      </w:r>
      <w:r>
        <w:rPr>
          <w:rFonts w:ascii="Consolas" w:cs="Consolas" w:eastAsia="Consolas" w:hAnsi="Consolas"/>
          <w:b w:val="false"/>
          <w:bCs w:val="false"/>
          <w:color w:val="2E4057"/>
          <w:sz w:val="20"/>
          <w:szCs w:val="20"/>
        </w:rPr>
        <w:t xml:space="preserve">place.nashik.general</w:t>
      </w:r>
      <w:r>
        <w:rPr>
          <w:rFonts w:ascii="Calibri" w:cs="Calibri" w:eastAsia="Calibri" w:hAnsi="Calibri"/>
          <w:sz w:val="22"/>
          <w:szCs w:val="22"/>
        </w:rPr>
        <w:t xml:space="preserve">. The article concerns Nashik but no specific place — the general fallback is the correct tag.</w:t>
      </w:r>
    </w:p>
    <w:p>
      <w:pPr>
        <w:spacing w:after="60" w:before="60" w:line="320"/>
      </w:pPr>
      <w:r>
        <w:rPr>
          <w:rFonts w:ascii="Calibri" w:cs="Calibri" w:eastAsia="Calibri" w:hAnsi="Calibri"/>
          <w:b/>
          <w:bCs/>
          <w:sz w:val="22"/>
          <w:szCs w:val="22"/>
        </w:rPr>
        <w:t xml:space="preserve">Example C. </w:t>
      </w:r>
      <w:r>
        <w:rPr>
          <w:rFonts w:ascii="Calibri" w:cs="Calibri" w:eastAsia="Calibri" w:hAnsi="Calibri"/>
          <w:i/>
          <w:iCs/>
          <w:sz w:val="22"/>
          <w:szCs w:val="22"/>
        </w:rPr>
        <w:t xml:space="preserve">"Comparing river water quality: Nashik 2015 vs Prayagraj 2025." </w:t>
      </w:r>
      <w:r>
        <w:rPr>
          <w:rFonts w:ascii="Calibri" w:cs="Calibri" w:eastAsia="Calibri" w:hAnsi="Calibri"/>
          <w:sz w:val="22"/>
          <w:szCs w:val="22"/>
        </w:rPr>
        <w:t xml:space="preserve"> Geography: </w:t>
      </w:r>
      <w:r>
        <w:rPr>
          <w:rFonts w:ascii="Consolas" w:cs="Consolas" w:eastAsia="Consolas" w:hAnsi="Consolas"/>
          <w:b w:val="false"/>
          <w:bCs w:val="false"/>
          <w:color w:val="2E4057"/>
          <w:sz w:val="20"/>
          <w:szCs w:val="20"/>
        </w:rPr>
        <w:t xml:space="preserve">edition.nashik_2015</w:t>
      </w:r>
      <w:r>
        <w:rPr>
          <w:rFonts w:ascii="Calibri" w:cs="Calibri" w:eastAsia="Calibri" w:hAnsi="Calibri"/>
          <w:sz w:val="22"/>
          <w:szCs w:val="22"/>
        </w:rPr>
        <w:t xml:space="preserve">, </w:t>
      </w:r>
      <w:r>
        <w:rPr>
          <w:rFonts w:ascii="Consolas" w:cs="Consolas" w:eastAsia="Consolas" w:hAnsi="Consolas"/>
          <w:b w:val="false"/>
          <w:bCs w:val="false"/>
          <w:color w:val="2E4057"/>
          <w:sz w:val="20"/>
          <w:szCs w:val="20"/>
        </w:rPr>
        <w:t xml:space="preserve">edition.prayagraj_2025</w:t>
      </w:r>
      <w:r>
        <w:rPr>
          <w:rFonts w:ascii="Calibri" w:cs="Calibri" w:eastAsia="Calibri" w:hAnsi="Calibri"/>
          <w:sz w:val="22"/>
          <w:szCs w:val="22"/>
        </w:rPr>
        <w:t xml:space="preserve">, </w:t>
      </w:r>
      <w:r>
        <w:rPr>
          <w:rFonts w:ascii="Consolas" w:cs="Consolas" w:eastAsia="Consolas" w:hAnsi="Consolas"/>
          <w:b w:val="false"/>
          <w:bCs w:val="false"/>
          <w:color w:val="2E4057"/>
          <w:sz w:val="20"/>
          <w:szCs w:val="20"/>
        </w:rPr>
        <w:t xml:space="preserve">place.nashik.ramkund</w:t>
      </w:r>
      <w:r>
        <w:rPr>
          <w:rFonts w:ascii="Calibri" w:cs="Calibri" w:eastAsia="Calibri" w:hAnsi="Calibri"/>
          <w:sz w:val="22"/>
          <w:szCs w:val="22"/>
        </w:rPr>
        <w:t xml:space="preserve">, and </w:t>
      </w:r>
      <w:r>
        <w:rPr>
          <w:rFonts w:ascii="Consolas" w:cs="Consolas" w:eastAsia="Consolas" w:hAnsi="Consolas"/>
          <w:b w:val="false"/>
          <w:bCs w:val="false"/>
          <w:color w:val="2E4057"/>
          <w:sz w:val="20"/>
          <w:szCs w:val="20"/>
        </w:rPr>
        <w:t xml:space="preserve">place.prayagraj.sangam</w:t>
      </w:r>
      <w:r>
        <w:rPr>
          <w:rFonts w:ascii="Calibri" w:cs="Calibri" w:eastAsia="Calibri" w:hAnsi="Calibri"/>
          <w:sz w:val="22"/>
          <w:szCs w:val="22"/>
        </w:rPr>
        <w:t xml:space="preserve">. Multi-edition, multi-place — exactly the kind of content the multi-tag model is built to handle.</w:t>
      </w:r>
    </w:p>
    <w:p>
      <w:r>
        <w:br w:type="page"/>
      </w:r>
    </w:p>
    <w:p>
      <w:pPr>
        <w:pStyle w:val="Heading1"/>
        <w:spacing w:after="180" w:before="360"/>
      </w:pPr>
      <w:r>
        <w:rPr>
          <w:rFonts w:ascii="Calibri" w:cs="Calibri" w:eastAsia="Calibri" w:hAnsi="Calibri"/>
          <w:b/>
          <w:bCs/>
          <w:color w:val="2E4057"/>
          <w:sz w:val="36"/>
          <w:szCs w:val="36"/>
        </w:rPr>
        <w:t xml:space="preserve">7. Axis 5 — Temporal Phase</w:t>
      </w:r>
    </w:p>
    <w:p>
      <w:pPr>
        <w:spacing w:after="60" w:before="60" w:line="320"/>
      </w:pPr>
      <w:r>
        <w:rPr>
          <w:rFonts w:ascii="Calibri" w:cs="Calibri" w:eastAsia="Calibri" w:hAnsi="Calibri"/>
          <w:sz w:val="22"/>
          <w:szCs w:val="22"/>
        </w:rPr>
        <w:t xml:space="preserve">Temporal Phase answers: when in the Kumbh cycle? Every item gets exactly one phase, computed mechanically from the item's published date relative to the edition's official event dates. No human judgment is required — it is a date-math derivation that runs automatically in the pipeline.</w:t>
      </w:r>
    </w:p>
    <w:p>
      <w:pPr>
        <w:pStyle w:val="Heading3"/>
        <w:spacing w:after="110" w:before="220"/>
      </w:pPr>
      <w:r>
        <w:rPr>
          <w:rFonts w:ascii="Calibri" w:cs="Calibri" w:eastAsia="Calibri" w:hAnsi="Calibri"/>
          <w:b/>
          <w:bCs/>
          <w:color w:val="C8553D"/>
          <w:sz w:val="26"/>
          <w:szCs w:val="26"/>
        </w:rPr>
        <w:t xml:space="preserve">Why this axis matters</w:t>
      </w:r>
    </w:p>
    <w:p>
      <w:pPr>
        <w:spacing w:after="60" w:before="60" w:line="320"/>
      </w:pPr>
      <w:r>
        <w:rPr>
          <w:rFonts w:ascii="Calibri" w:cs="Calibri" w:eastAsia="Calibri" w:hAnsi="Calibri"/>
          <w:sz w:val="22"/>
          <w:szCs w:val="22"/>
        </w:rPr>
        <w:t xml:space="preserve">The same article means very different things in different phases. A claim of "₹500 crore spent on roads" during the planning phase is a promise. The same claim during the aftermath phase is a measured outcome. This axis is what makes the promise-versus-delivery research arc possible — the most powerful longitudinal narrative the archive can offer.</w:t>
      </w:r>
    </w:p>
    <w:p>
      <w:pPr>
        <w:pStyle w:val="Heading3"/>
        <w:spacing w:after="110" w:before="220"/>
      </w:pPr>
      <w:r>
        <w:rPr>
          <w:rFonts w:ascii="Calibri" w:cs="Calibri" w:eastAsia="Calibri" w:hAnsi="Calibri"/>
          <w:b/>
          <w:bCs/>
          <w:color w:val="C8553D"/>
          <w:sz w:val="26"/>
          <w:szCs w:val="26"/>
        </w:rPr>
        <w:t xml:space="preserve">The 7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D1D5DB" w:sz="4"/>
              <w:left w:val="single" w:color="D1D5DB" w:sz="4"/>
              <w:bottom w:val="single" w:color="D1D5DB" w:sz="4"/>
              <w:right w:val="single" w:color="D1D5DB" w:sz="4"/>
            </w:tcBorders>
            <w:shd w:fill="2E4057" w:val="clear"/>
            <w:tcMar>
              <w:top w:type="dxa" w:w="120"/>
              <w:left w:type="dxa" w:w="140"/>
              <w:bottom w:type="dxa" w:w="120"/>
              <w:right w:type="dxa" w:w="140"/>
            </w:tcMar>
            <w:vAlign w:val="center"/>
          </w:tcPr>
          <w:p>
            <w:pPr>
              <w:spacing w:after="0" w:before="0"/>
            </w:pPr>
            <w:r>
              <w:rPr>
                <w:rFonts w:ascii="Calibri" w:cs="Calibri" w:eastAsia="Calibri" w:hAnsi="Calibri"/>
                <w:b/>
                <w:bCs/>
                <w:color w:val="FFFFFF"/>
                <w:sz w:val="22"/>
                <w:szCs w:val="22"/>
              </w:rPr>
              <w:t xml:space="preserve">Tag ID</w:t>
            </w:r>
          </w:p>
        </w:tc>
        <w:tc>
          <w:tcPr>
            <w:tcW w:type="dxa" w:w="2200"/>
            <w:tcBorders>
              <w:top w:val="single" w:color="D1D5DB" w:sz="4"/>
              <w:left w:val="single" w:color="D1D5DB" w:sz="4"/>
              <w:bottom w:val="single" w:color="D1D5DB" w:sz="4"/>
              <w:right w:val="single" w:color="D1D5DB" w:sz="4"/>
            </w:tcBorders>
            <w:shd w:fill="2E4057" w:val="clear"/>
            <w:tcMar>
              <w:top w:type="dxa" w:w="120"/>
              <w:left w:type="dxa" w:w="140"/>
              <w:bottom w:type="dxa" w:w="120"/>
              <w:right w:type="dxa" w:w="140"/>
            </w:tcMar>
            <w:vAlign w:val="center"/>
          </w:tcPr>
          <w:p>
            <w:pPr>
              <w:spacing w:after="0" w:before="0"/>
            </w:pPr>
            <w:r>
              <w:rPr>
                <w:rFonts w:ascii="Calibri" w:cs="Calibri" w:eastAsia="Calibri" w:hAnsi="Calibri"/>
                <w:b/>
                <w:bCs/>
                <w:color w:val="FFFFFF"/>
                <w:sz w:val="22"/>
                <w:szCs w:val="22"/>
              </w:rPr>
              <w:t xml:space="preserve">Phase</w:t>
            </w:r>
          </w:p>
        </w:tc>
        <w:tc>
          <w:tcPr>
            <w:tcW w:type="dxa" w:w="4360"/>
            <w:tcBorders>
              <w:top w:val="single" w:color="D1D5DB" w:sz="4"/>
              <w:left w:val="single" w:color="D1D5DB" w:sz="4"/>
              <w:bottom w:val="single" w:color="D1D5DB" w:sz="4"/>
              <w:right w:val="single" w:color="D1D5DB" w:sz="4"/>
            </w:tcBorders>
            <w:shd w:fill="2E4057" w:val="clear"/>
            <w:tcMar>
              <w:top w:type="dxa" w:w="120"/>
              <w:left w:type="dxa" w:w="140"/>
              <w:bottom w:type="dxa" w:w="120"/>
              <w:right w:type="dxa" w:w="140"/>
            </w:tcMar>
            <w:vAlign w:val="center"/>
          </w:tcPr>
          <w:p>
            <w:pPr>
              <w:spacing w:after="0" w:before="0"/>
            </w:pPr>
            <w:r>
              <w:rPr>
                <w:rFonts w:ascii="Calibri" w:cs="Calibri" w:eastAsia="Calibri" w:hAnsi="Calibri"/>
                <w:b/>
                <w:bCs/>
                <w:color w:val="FFFFFF"/>
                <w:sz w:val="22"/>
                <w:szCs w:val="22"/>
              </w:rPr>
              <w:t xml:space="preserve">Window</w:t>
            </w:r>
          </w:p>
        </w:tc>
      </w:tr>
      <w:tr>
        <w:tc>
          <w:tcPr>
            <w:tcW w:type="dxa" w:w="28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onsolas" w:cs="Consolas" w:eastAsia="Consolas" w:hAnsi="Consolas"/>
                <w:b w:val="false"/>
                <w:bCs w:val="false"/>
                <w:color w:val="2E4057"/>
                <w:sz w:val="20"/>
                <w:szCs w:val="20"/>
              </w:rPr>
              <w:t xml:space="preserve">phase.planning</w:t>
            </w:r>
          </w:p>
        </w:tc>
        <w:tc>
          <w:tcPr>
            <w:tcW w:type="dxa" w:w="22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bCs/>
                <w:color w:val="000000"/>
                <w:sz w:val="22"/>
                <w:szCs w:val="22"/>
              </w:rPr>
              <w:t xml:space="preserve">Planning Phase</w:t>
            </w:r>
          </w:p>
        </w:tc>
        <w:tc>
          <w:tcPr>
            <w:tcW w:type="dxa" w:w="43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val="false"/>
                <w:bCs w:val="false"/>
                <w:color w:val="000000"/>
                <w:sz w:val="22"/>
                <w:szCs w:val="22"/>
              </w:rPr>
              <w:t xml:space="preserve">More than 12 months before event start. Master plans, budget commitments, organizational setup.</w:t>
            </w:r>
          </w:p>
        </w:tc>
      </w:tr>
      <w:tr>
        <w:tc>
          <w:tcPr>
            <w:tcW w:type="dxa" w:w="28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onsolas" w:cs="Consolas" w:eastAsia="Consolas" w:hAnsi="Consolas"/>
                <w:b w:val="false"/>
                <w:bCs w:val="false"/>
                <w:color w:val="2E4057"/>
                <w:sz w:val="20"/>
                <w:szCs w:val="20"/>
              </w:rPr>
              <w:t xml:space="preserve">phase.buildup</w:t>
            </w:r>
          </w:p>
        </w:tc>
        <w:tc>
          <w:tcPr>
            <w:tcW w:type="dxa" w:w="22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bCs/>
                <w:color w:val="000000"/>
                <w:sz w:val="22"/>
                <w:szCs w:val="22"/>
              </w:rPr>
              <w:t xml:space="preserve">Build-up Phase</w:t>
            </w:r>
          </w:p>
        </w:tc>
        <w:tc>
          <w:tcPr>
            <w:tcW w:type="dxa" w:w="43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val="false"/>
                <w:bCs w:val="false"/>
                <w:color w:val="000000"/>
                <w:sz w:val="22"/>
                <w:szCs w:val="22"/>
              </w:rPr>
              <w:t xml:space="preserve">12 months to 1 month before event start. Construction, hiring, infrastructure delivery.</w:t>
            </w:r>
          </w:p>
        </w:tc>
      </w:tr>
      <w:tr>
        <w:tc>
          <w:tcPr>
            <w:tcW w:type="dxa" w:w="28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onsolas" w:cs="Consolas" w:eastAsia="Consolas" w:hAnsi="Consolas"/>
                <w:b w:val="false"/>
                <w:bCs w:val="false"/>
                <w:color w:val="2E4057"/>
                <w:sz w:val="20"/>
                <w:szCs w:val="20"/>
              </w:rPr>
              <w:t xml:space="preserve">phase.arrival</w:t>
            </w:r>
          </w:p>
        </w:tc>
        <w:tc>
          <w:tcPr>
            <w:tcW w:type="dxa" w:w="22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bCs/>
                <w:color w:val="000000"/>
                <w:sz w:val="22"/>
                <w:szCs w:val="22"/>
              </w:rPr>
              <w:t xml:space="preserve">Arrival Phase</w:t>
            </w:r>
          </w:p>
        </w:tc>
        <w:tc>
          <w:tcPr>
            <w:tcW w:type="dxa" w:w="43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val="false"/>
                <w:bCs w:val="false"/>
                <w:color w:val="000000"/>
                <w:sz w:val="22"/>
                <w:szCs w:val="22"/>
              </w:rPr>
              <w:t xml:space="preserve">4 weeks before event start to event start. Pilgrims streaming in, final operational readiness checks.</w:t>
            </w:r>
          </w:p>
        </w:tc>
      </w:tr>
      <w:tr>
        <w:tc>
          <w:tcPr>
            <w:tcW w:type="dxa" w:w="28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onsolas" w:cs="Consolas" w:eastAsia="Consolas" w:hAnsi="Consolas"/>
                <w:b w:val="false"/>
                <w:bCs w:val="false"/>
                <w:color w:val="2E4057"/>
                <w:sz w:val="20"/>
                <w:szCs w:val="20"/>
              </w:rPr>
              <w:t xml:space="preserve">phase.event</w:t>
            </w:r>
          </w:p>
        </w:tc>
        <w:tc>
          <w:tcPr>
            <w:tcW w:type="dxa" w:w="22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bCs/>
                <w:color w:val="000000"/>
                <w:sz w:val="22"/>
                <w:szCs w:val="22"/>
              </w:rPr>
              <w:t xml:space="preserve">Event Phase</w:t>
            </w:r>
          </w:p>
        </w:tc>
        <w:tc>
          <w:tcPr>
            <w:tcW w:type="dxa" w:w="43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val="false"/>
                <w:bCs w:val="false"/>
                <w:color w:val="000000"/>
                <w:sz w:val="22"/>
                <w:szCs w:val="22"/>
              </w:rPr>
              <w:t xml:space="preserve">During the official event dates. Shahi snans, peak crowds, daily operations.</w:t>
            </w:r>
          </w:p>
        </w:tc>
      </w:tr>
      <w:tr>
        <w:tc>
          <w:tcPr>
            <w:tcW w:type="dxa" w:w="28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onsolas" w:cs="Consolas" w:eastAsia="Consolas" w:hAnsi="Consolas"/>
                <w:b w:val="false"/>
                <w:bCs w:val="false"/>
                <w:color w:val="2E4057"/>
                <w:sz w:val="20"/>
                <w:szCs w:val="20"/>
              </w:rPr>
              <w:t xml:space="preserve">phase.decline</w:t>
            </w:r>
          </w:p>
        </w:tc>
        <w:tc>
          <w:tcPr>
            <w:tcW w:type="dxa" w:w="22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bCs/>
                <w:color w:val="000000"/>
                <w:sz w:val="22"/>
                <w:szCs w:val="22"/>
              </w:rPr>
              <w:t xml:space="preserve">Decline Phase</w:t>
            </w:r>
          </w:p>
        </w:tc>
        <w:tc>
          <w:tcPr>
            <w:tcW w:type="dxa" w:w="43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val="false"/>
                <w:bCs w:val="false"/>
                <w:color w:val="000000"/>
                <w:sz w:val="22"/>
                <w:szCs w:val="22"/>
              </w:rPr>
              <w:t xml:space="preserve">Last 2 weeks of the event. Tapering crowds, winding down.</w:t>
            </w:r>
          </w:p>
        </w:tc>
      </w:tr>
      <w:tr>
        <w:tc>
          <w:tcPr>
            <w:tcW w:type="dxa" w:w="28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onsolas" w:cs="Consolas" w:eastAsia="Consolas" w:hAnsi="Consolas"/>
                <w:b w:val="false"/>
                <w:bCs w:val="false"/>
                <w:color w:val="2E4057"/>
                <w:sz w:val="20"/>
                <w:szCs w:val="20"/>
              </w:rPr>
              <w:t xml:space="preserve">phase.aftermath</w:t>
            </w:r>
          </w:p>
        </w:tc>
        <w:tc>
          <w:tcPr>
            <w:tcW w:type="dxa" w:w="22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bCs/>
                <w:color w:val="000000"/>
                <w:sz w:val="22"/>
                <w:szCs w:val="22"/>
              </w:rPr>
              <w:t xml:space="preserve">Aftermath Phase</w:t>
            </w:r>
          </w:p>
        </w:tc>
        <w:tc>
          <w:tcPr>
            <w:tcW w:type="dxa" w:w="43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val="false"/>
                <w:bCs w:val="false"/>
                <w:color w:val="000000"/>
                <w:sz w:val="22"/>
                <w:szCs w:val="22"/>
              </w:rPr>
              <w:t xml:space="preserve">Event end to 6 months after. Debriefs, audits, post-event reporting.</w:t>
            </w:r>
          </w:p>
        </w:tc>
      </w:tr>
      <w:tr>
        <w:tc>
          <w:tcPr>
            <w:tcW w:type="dxa" w:w="28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onsolas" w:cs="Consolas" w:eastAsia="Consolas" w:hAnsi="Consolas"/>
                <w:b w:val="false"/>
                <w:bCs w:val="false"/>
                <w:color w:val="2E4057"/>
                <w:sz w:val="20"/>
                <w:szCs w:val="20"/>
              </w:rPr>
              <w:t xml:space="preserve">phase.legacy</w:t>
            </w:r>
          </w:p>
        </w:tc>
        <w:tc>
          <w:tcPr>
            <w:tcW w:type="dxa" w:w="22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bCs/>
                <w:color w:val="000000"/>
                <w:sz w:val="22"/>
                <w:szCs w:val="22"/>
              </w:rPr>
              <w:t xml:space="preserve">Legacy Phase</w:t>
            </w:r>
          </w:p>
        </w:tc>
        <w:tc>
          <w:tcPr>
            <w:tcW w:type="dxa" w:w="43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val="false"/>
                <w:bCs w:val="false"/>
                <w:color w:val="000000"/>
                <w:sz w:val="22"/>
                <w:szCs w:val="22"/>
              </w:rPr>
              <w:t xml:space="preserve">More than 6 months after event end. Long-term reflections, retrospectives, comparative pieces.</w:t>
            </w:r>
          </w:p>
        </w:tc>
      </w:tr>
    </w:tbl>
    <w:p>
      <w:pPr>
        <w:spacing w:after="80" w:before="80"/>
      </w:pPr>
      <w:r>
        <w:t xml:space="preserve"/>
      </w:r>
    </w:p>
    <w:p>
      <w:pPr>
        <w:pStyle w:val="Heading3"/>
        <w:spacing w:after="110" w:before="220"/>
      </w:pPr>
      <w:r>
        <w:rPr>
          <w:rFonts w:ascii="Calibri" w:cs="Calibri" w:eastAsia="Calibri" w:hAnsi="Calibri"/>
          <w:b/>
          <w:bCs/>
          <w:color w:val="C8553D"/>
          <w:sz w:val="26"/>
          <w:szCs w:val="26"/>
        </w:rPr>
        <w:t xml:space="preserve">The longitudinal power this axis unlocks</w:t>
      </w:r>
    </w:p>
    <w:p>
      <w:pPr>
        <w:spacing w:after="60" w:before="60" w:line="320"/>
      </w:pPr>
      <w:r>
        <w:rPr>
          <w:rFonts w:ascii="Calibri" w:cs="Calibri" w:eastAsia="Calibri" w:hAnsi="Calibri"/>
          <w:sz w:val="22"/>
          <w:szCs w:val="22"/>
        </w:rPr>
        <w:t xml:space="preserve">Imagine a researcher wants to study promise vs delivery for road infrastructure in Nashik 2027. A single set of queries does the work:</w:t>
      </w:r>
    </w:p>
    <w:p>
      <w:pPr>
        <w:pStyle w:val="ListParagraph"/>
        <w:numPr>
          <w:ilvl w:val="0"/>
          <w:numId w:val="2"/>
        </w:numPr>
        <w:spacing w:after="40" w:before="40" w:line="300"/>
      </w:pPr>
      <w:r>
        <w:rPr>
          <w:rFonts w:ascii="Consolas" w:cs="Consolas" w:eastAsia="Consolas" w:hAnsi="Consolas"/>
          <w:b w:val="false"/>
          <w:bCs w:val="false"/>
          <w:color w:val="2E4057"/>
          <w:sz w:val="20"/>
          <w:szCs w:val="20"/>
        </w:rPr>
        <w:t xml:space="preserve">theme.roads_bridges</w:t>
      </w:r>
      <w:r>
        <w:rPr>
          <w:rFonts w:ascii="Calibri" w:cs="Calibri" w:eastAsia="Calibri" w:hAnsi="Calibri"/>
          <w:sz w:val="22"/>
          <w:szCs w:val="22"/>
        </w:rPr>
        <w:t xml:space="preserve"> + </w:t>
      </w:r>
      <w:r>
        <w:rPr>
          <w:rFonts w:ascii="Consolas" w:cs="Consolas" w:eastAsia="Consolas" w:hAnsi="Consolas"/>
          <w:b w:val="false"/>
          <w:bCs w:val="false"/>
          <w:color w:val="2E4057"/>
          <w:sz w:val="20"/>
          <w:szCs w:val="20"/>
        </w:rPr>
        <w:t xml:space="preserve">edition.nashik_2027</w:t>
      </w:r>
      <w:r>
        <w:rPr>
          <w:rFonts w:ascii="Calibri" w:cs="Calibri" w:eastAsia="Calibri" w:hAnsi="Calibri"/>
          <w:sz w:val="22"/>
          <w:szCs w:val="22"/>
        </w:rPr>
        <w:t xml:space="preserve"> + </w:t>
      </w:r>
      <w:r>
        <w:rPr>
          <w:rFonts w:ascii="Consolas" w:cs="Consolas" w:eastAsia="Consolas" w:hAnsi="Consolas"/>
          <w:b w:val="false"/>
          <w:bCs w:val="false"/>
          <w:color w:val="2E4057"/>
          <w:sz w:val="20"/>
          <w:szCs w:val="20"/>
        </w:rPr>
        <w:t xml:space="preserve">phase.planning</w:t>
      </w:r>
      <w:r>
        <w:rPr>
          <w:rFonts w:ascii="Calibri" w:cs="Calibri" w:eastAsia="Calibri" w:hAnsi="Calibri"/>
          <w:sz w:val="22"/>
          <w:szCs w:val="22"/>
        </w:rPr>
        <w:t xml:space="preserve"> — the promises</w:t>
      </w:r>
    </w:p>
    <w:p>
      <w:pPr>
        <w:pStyle w:val="ListParagraph"/>
        <w:numPr>
          <w:ilvl w:val="0"/>
          <w:numId w:val="2"/>
        </w:numPr>
        <w:spacing w:after="40" w:before="40" w:line="300"/>
      </w:pPr>
      <w:r>
        <w:rPr>
          <w:rFonts w:ascii="Consolas" w:cs="Consolas" w:eastAsia="Consolas" w:hAnsi="Consolas"/>
          <w:b w:val="false"/>
          <w:bCs w:val="false"/>
          <w:color w:val="2E4057"/>
          <w:sz w:val="20"/>
          <w:szCs w:val="20"/>
        </w:rPr>
        <w:t xml:space="preserve">theme.roads_bridges</w:t>
      </w:r>
      <w:r>
        <w:rPr>
          <w:rFonts w:ascii="Calibri" w:cs="Calibri" w:eastAsia="Calibri" w:hAnsi="Calibri"/>
          <w:sz w:val="22"/>
          <w:szCs w:val="22"/>
        </w:rPr>
        <w:t xml:space="preserve"> + </w:t>
      </w:r>
      <w:r>
        <w:rPr>
          <w:rFonts w:ascii="Consolas" w:cs="Consolas" w:eastAsia="Consolas" w:hAnsi="Consolas"/>
          <w:b w:val="false"/>
          <w:bCs w:val="false"/>
          <w:color w:val="2E4057"/>
          <w:sz w:val="20"/>
          <w:szCs w:val="20"/>
        </w:rPr>
        <w:t xml:space="preserve">edition.nashik_2027</w:t>
      </w:r>
      <w:r>
        <w:rPr>
          <w:rFonts w:ascii="Calibri" w:cs="Calibri" w:eastAsia="Calibri" w:hAnsi="Calibri"/>
          <w:sz w:val="22"/>
          <w:szCs w:val="22"/>
        </w:rPr>
        <w:t xml:space="preserve"> + </w:t>
      </w:r>
      <w:r>
        <w:rPr>
          <w:rFonts w:ascii="Consolas" w:cs="Consolas" w:eastAsia="Consolas" w:hAnsi="Consolas"/>
          <w:b w:val="false"/>
          <w:bCs w:val="false"/>
          <w:color w:val="2E4057"/>
          <w:sz w:val="20"/>
          <w:szCs w:val="20"/>
        </w:rPr>
        <w:t xml:space="preserve">phase.buildup</w:t>
      </w:r>
      <w:r>
        <w:rPr>
          <w:rFonts w:ascii="Calibri" w:cs="Calibri" w:eastAsia="Calibri" w:hAnsi="Calibri"/>
          <w:sz w:val="22"/>
          <w:szCs w:val="22"/>
        </w:rPr>
        <w:t xml:space="preserve"> — the progress reports</w:t>
      </w:r>
    </w:p>
    <w:p>
      <w:pPr>
        <w:pStyle w:val="ListParagraph"/>
        <w:numPr>
          <w:ilvl w:val="0"/>
          <w:numId w:val="2"/>
        </w:numPr>
        <w:spacing w:after="40" w:before="40" w:line="300"/>
      </w:pPr>
      <w:r>
        <w:rPr>
          <w:rFonts w:ascii="Consolas" w:cs="Consolas" w:eastAsia="Consolas" w:hAnsi="Consolas"/>
          <w:b w:val="false"/>
          <w:bCs w:val="false"/>
          <w:color w:val="2E4057"/>
          <w:sz w:val="20"/>
          <w:szCs w:val="20"/>
        </w:rPr>
        <w:t xml:space="preserve">theme.roads_bridges</w:t>
      </w:r>
      <w:r>
        <w:rPr>
          <w:rFonts w:ascii="Calibri" w:cs="Calibri" w:eastAsia="Calibri" w:hAnsi="Calibri"/>
          <w:sz w:val="22"/>
          <w:szCs w:val="22"/>
        </w:rPr>
        <w:t xml:space="preserve"> + </w:t>
      </w:r>
      <w:r>
        <w:rPr>
          <w:rFonts w:ascii="Consolas" w:cs="Consolas" w:eastAsia="Consolas" w:hAnsi="Consolas"/>
          <w:b w:val="false"/>
          <w:bCs w:val="false"/>
          <w:color w:val="2E4057"/>
          <w:sz w:val="20"/>
          <w:szCs w:val="20"/>
        </w:rPr>
        <w:t xml:space="preserve">edition.nashik_2027</w:t>
      </w:r>
      <w:r>
        <w:rPr>
          <w:rFonts w:ascii="Calibri" w:cs="Calibri" w:eastAsia="Calibri" w:hAnsi="Calibri"/>
          <w:sz w:val="22"/>
          <w:szCs w:val="22"/>
        </w:rPr>
        <w:t xml:space="preserve"> + </w:t>
      </w:r>
      <w:r>
        <w:rPr>
          <w:rFonts w:ascii="Consolas" w:cs="Consolas" w:eastAsia="Consolas" w:hAnsi="Consolas"/>
          <w:b w:val="false"/>
          <w:bCs w:val="false"/>
          <w:color w:val="2E4057"/>
          <w:sz w:val="20"/>
          <w:szCs w:val="20"/>
        </w:rPr>
        <w:t xml:space="preserve">phase.aftermath</w:t>
      </w:r>
      <w:r>
        <w:rPr>
          <w:rFonts w:ascii="Calibri" w:cs="Calibri" w:eastAsia="Calibri" w:hAnsi="Calibri"/>
          <w:sz w:val="22"/>
          <w:szCs w:val="22"/>
        </w:rPr>
        <w:t xml:space="preserve"> — the outcome assessments</w:t>
      </w:r>
    </w:p>
    <w:p>
      <w:pPr>
        <w:spacing w:after="60" w:before="60" w:line="320"/>
      </w:pPr>
      <w:r>
        <w:rPr>
          <w:rFonts w:ascii="Calibri" w:cs="Calibri" w:eastAsia="Calibri" w:hAnsi="Calibri"/>
          <w:sz w:val="22"/>
          <w:szCs w:val="22"/>
        </w:rPr>
        <w:t xml:space="preserve">Reading those three lists side by side gives a definitive picture of what was promised versus what got built. No other Kumbh archive lets a researcher build that picture in three queries.</w:t>
      </w:r>
    </w:p>
    <w:p>
      <w:pPr>
        <w:pStyle w:val="Heading3"/>
        <w:spacing w:after="110" w:before="220"/>
      </w:pPr>
      <w:r>
        <w:rPr>
          <w:rFonts w:ascii="Calibri" w:cs="Calibri" w:eastAsia="Calibri" w:hAnsi="Calibri"/>
          <w:b/>
          <w:bCs/>
          <w:color w:val="C8553D"/>
          <w:sz w:val="26"/>
          <w:szCs w:val="26"/>
        </w:rPr>
        <w:t xml:space="preserve">Note on the 2015 backfill</w:t>
      </w:r>
    </w:p>
    <w:p>
      <w:pPr>
        <w:spacing w:after="60" w:before="60" w:line="320"/>
      </w:pPr>
      <w:r>
        <w:rPr>
          <w:rFonts w:ascii="Calibri" w:cs="Calibri" w:eastAsia="Calibri" w:hAnsi="Calibri"/>
          <w:sz w:val="22"/>
          <w:szCs w:val="22"/>
        </w:rPr>
        <w:t xml:space="preserve">For the 2015 archive, most ingested content will fall into phase.event (during the event) or phase.legacy (looking back years later). The planning and buildup phases have largely decayed off the open web. This is one of the structural limitations of historical backfill — the further back you go, the more sparse the planning-phase content becomes.</w:t>
      </w:r>
    </w:p>
    <w:p>
      <w:r>
        <w:br w:type="page"/>
      </w:r>
    </w:p>
    <w:p>
      <w:pPr>
        <w:pStyle w:val="Heading1"/>
        <w:spacing w:after="180" w:before="360"/>
      </w:pPr>
      <w:r>
        <w:rPr>
          <w:rFonts w:ascii="Calibri" w:cs="Calibri" w:eastAsia="Calibri" w:hAnsi="Calibri"/>
          <w:b/>
          <w:bCs/>
          <w:color w:val="2E4057"/>
          <w:sz w:val="36"/>
          <w:szCs w:val="36"/>
        </w:rPr>
        <w:t xml:space="preserve">8. Axis 6 — Information Quality</w:t>
      </w:r>
    </w:p>
    <w:p>
      <w:pPr>
        <w:spacing w:after="60" w:before="60" w:line="320"/>
      </w:pPr>
      <w:r>
        <w:rPr>
          <w:rFonts w:ascii="Calibri" w:cs="Calibri" w:eastAsia="Calibri" w:hAnsi="Calibri"/>
          <w:sz w:val="22"/>
          <w:szCs w:val="22"/>
        </w:rPr>
        <w:t xml:space="preserve">Information Quality answers: how trustworthy is this content? Unlike every other axis, this one is not a tag list. It is a structured set of fields attached to each content item — some set at ingestion, some computed by the pipeline, some set by humans after review.</w:t>
      </w:r>
    </w:p>
    <w:p>
      <w:pPr>
        <w:pStyle w:val="Heading3"/>
        <w:spacing w:after="110" w:before="220"/>
      </w:pPr>
      <w:r>
        <w:rPr>
          <w:rFonts w:ascii="Calibri" w:cs="Calibri" w:eastAsia="Calibri" w:hAnsi="Calibri"/>
          <w:b/>
          <w:bCs/>
          <w:color w:val="C8553D"/>
          <w:sz w:val="26"/>
          <w:szCs w:val="26"/>
        </w:rPr>
        <w:t xml:space="preserve">Why this axis is the spine of the project</w:t>
      </w:r>
    </w:p>
    <w:p>
      <w:pPr>
        <w:spacing w:after="60" w:before="60" w:line="320"/>
      </w:pPr>
      <w:r>
        <w:rPr>
          <w:rFonts w:ascii="Calibri" w:cs="Calibri" w:eastAsia="Calibri" w:hAnsi="Calibri"/>
          <w:sz w:val="22"/>
          <w:szCs w:val="22"/>
        </w:rPr>
        <w:t xml:space="preserve">Information Quality is the single feature that distinguishes the archive from a generic news aggregator. Without it, the platform is a search engine over Kumbh content. With it, the platform becomes an information-integrity layer: the war-room can flag rumors in minutes, journalists can find counter-information instantly, and researchers can filter for trustworthy primary sources at scale.</w:t>
      </w:r>
    </w:p>
    <w:p>
      <w:pPr>
        <w:pStyle w:val="Heading3"/>
        <w:spacing w:after="110" w:before="220"/>
      </w:pPr>
      <w:r>
        <w:rPr>
          <w:rFonts w:ascii="Calibri" w:cs="Calibri" w:eastAsia="Calibri" w:hAnsi="Calibri"/>
          <w:b/>
          <w:bCs/>
          <w:color w:val="C8553D"/>
          <w:sz w:val="26"/>
          <w:szCs w:val="26"/>
        </w:rPr>
        <w:t xml:space="preserve">The 9 fields of Information 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D1D5DB" w:sz="4"/>
              <w:left w:val="single" w:color="D1D5DB" w:sz="4"/>
              <w:bottom w:val="single" w:color="D1D5DB" w:sz="4"/>
              <w:right w:val="single" w:color="D1D5DB" w:sz="4"/>
            </w:tcBorders>
            <w:shd w:fill="2E4057" w:val="clear"/>
            <w:tcMar>
              <w:top w:type="dxa" w:w="120"/>
              <w:left w:type="dxa" w:w="140"/>
              <w:bottom w:type="dxa" w:w="120"/>
              <w:right w:type="dxa" w:w="140"/>
            </w:tcMar>
            <w:vAlign w:val="center"/>
          </w:tcPr>
          <w:p>
            <w:pPr>
              <w:spacing w:after="0" w:before="0"/>
            </w:pPr>
            <w:r>
              <w:rPr>
                <w:rFonts w:ascii="Calibri" w:cs="Calibri" w:eastAsia="Calibri" w:hAnsi="Calibri"/>
                <w:b/>
                <w:bCs/>
                <w:color w:val="FFFFFF"/>
                <w:sz w:val="22"/>
                <w:szCs w:val="22"/>
              </w:rPr>
              <w:t xml:space="preserve">Field</w:t>
            </w:r>
          </w:p>
        </w:tc>
        <w:tc>
          <w:tcPr>
            <w:tcW w:type="dxa" w:w="3000"/>
            <w:tcBorders>
              <w:top w:val="single" w:color="D1D5DB" w:sz="4"/>
              <w:left w:val="single" w:color="D1D5DB" w:sz="4"/>
              <w:bottom w:val="single" w:color="D1D5DB" w:sz="4"/>
              <w:right w:val="single" w:color="D1D5DB" w:sz="4"/>
            </w:tcBorders>
            <w:shd w:fill="2E4057" w:val="clear"/>
            <w:tcMar>
              <w:top w:type="dxa" w:w="120"/>
              <w:left w:type="dxa" w:w="140"/>
              <w:bottom w:type="dxa" w:w="120"/>
              <w:right w:type="dxa" w:w="140"/>
            </w:tcMar>
            <w:vAlign w:val="center"/>
          </w:tcPr>
          <w:p>
            <w:pPr>
              <w:spacing w:after="0" w:before="0"/>
            </w:pPr>
            <w:r>
              <w:rPr>
                <w:rFonts w:ascii="Calibri" w:cs="Calibri" w:eastAsia="Calibri" w:hAnsi="Calibri"/>
                <w:b/>
                <w:bCs/>
                <w:color w:val="FFFFFF"/>
                <w:sz w:val="22"/>
                <w:szCs w:val="22"/>
              </w:rPr>
              <w:t xml:space="preserve">Values</w:t>
            </w:r>
          </w:p>
        </w:tc>
        <w:tc>
          <w:tcPr>
            <w:tcW w:type="dxa" w:w="3960"/>
            <w:tcBorders>
              <w:top w:val="single" w:color="D1D5DB" w:sz="4"/>
              <w:left w:val="single" w:color="D1D5DB" w:sz="4"/>
              <w:bottom w:val="single" w:color="D1D5DB" w:sz="4"/>
              <w:right w:val="single" w:color="D1D5DB" w:sz="4"/>
            </w:tcBorders>
            <w:shd w:fill="2E4057" w:val="clear"/>
            <w:tcMar>
              <w:top w:type="dxa" w:w="120"/>
              <w:left w:type="dxa" w:w="140"/>
              <w:bottom w:type="dxa" w:w="120"/>
              <w:right w:type="dxa" w:w="140"/>
            </w:tcMar>
            <w:vAlign w:val="center"/>
          </w:tcPr>
          <w:p>
            <w:pPr>
              <w:spacing w:after="0" w:before="0"/>
            </w:pPr>
            <w:r>
              <w:rPr>
                <w:rFonts w:ascii="Calibri" w:cs="Calibri" w:eastAsia="Calibri" w:hAnsi="Calibri"/>
                <w:b/>
                <w:bCs/>
                <w:color w:val="FFFFFF"/>
                <w:sz w:val="22"/>
                <w:szCs w:val="22"/>
              </w:rPr>
              <w:t xml:space="preserve">What it captures</w:t>
            </w:r>
          </w:p>
        </w:tc>
      </w:tr>
      <w:tr>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onsolas" w:cs="Consolas" w:eastAsia="Consolas" w:hAnsi="Consolas"/>
                <w:b w:val="false"/>
                <w:bCs w:val="false"/>
                <w:color w:val="2E4057"/>
                <w:sz w:val="20"/>
                <w:szCs w:val="20"/>
              </w:rPr>
              <w:t xml:space="preserve">source_tier</w:t>
            </w:r>
          </w:p>
        </w:tc>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val="false"/>
                <w:bCs w:val="false"/>
                <w:color w:val="000000"/>
                <w:sz w:val="22"/>
                <w:szCs w:val="22"/>
              </w:rPr>
              <w:t xml:space="preserve">1 / 2 / 3 / 4</w:t>
            </w:r>
          </w:p>
        </w:tc>
        <w:tc>
          <w:tcPr>
            <w:tcW w:type="dxa" w:w="39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val="false"/>
                <w:bCs w:val="false"/>
                <w:color w:val="000000"/>
                <w:sz w:val="22"/>
                <w:szCs w:val="22"/>
              </w:rPr>
              <w:t xml:space="preserve">Editorial credibility tier of the source. 1 = wire or government official (PTI, Reuters, PIB). 2 = major national daily (TOI, IE, Hindu, HT, NDTV). 3 = regional or niche outlet. 4 = social media or anonymous channel. Set when the source is added to the registry; rarely changes.</w:t>
            </w:r>
          </w:p>
        </w:tc>
      </w:tr>
      <w:tr>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onsolas" w:cs="Consolas" w:eastAsia="Consolas" w:hAnsi="Consolas"/>
                <w:b w:val="false"/>
                <w:bCs w:val="false"/>
                <w:color w:val="2E4057"/>
                <w:sz w:val="20"/>
                <w:szCs w:val="20"/>
              </w:rPr>
              <w:t xml:space="preserve">claim_type</w:t>
            </w:r>
          </w:p>
        </w:tc>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val="false"/>
                <w:bCs w:val="false"/>
                <w:color w:val="000000"/>
                <w:sz w:val="22"/>
                <w:szCs w:val="22"/>
              </w:rPr>
              <w:t xml:space="preserve">factual / opinion / rumor / satire / verified / mixed</w:t>
            </w:r>
          </w:p>
        </w:tc>
        <w:tc>
          <w:tcPr>
            <w:tcW w:type="dxa" w:w="39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val="false"/>
                <w:bCs w:val="false"/>
                <w:color w:val="000000"/>
                <w:sz w:val="22"/>
                <w:szCs w:val="22"/>
              </w:rPr>
              <w:t xml:space="preserve">What kind of claim is being made. Set by the classifier.</w:t>
            </w:r>
          </w:p>
        </w:tc>
      </w:tr>
      <w:tr>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onsolas" w:cs="Consolas" w:eastAsia="Consolas" w:hAnsi="Consolas"/>
                <w:b w:val="false"/>
                <w:bCs w:val="false"/>
                <w:color w:val="2E4057"/>
                <w:sz w:val="20"/>
                <w:szCs w:val="20"/>
              </w:rPr>
              <w:t xml:space="preserve">evidence_type</w:t>
            </w:r>
          </w:p>
        </w:tc>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val="false"/>
                <w:bCs w:val="false"/>
                <w:color w:val="000000"/>
                <w:sz w:val="22"/>
                <w:szCs w:val="22"/>
              </w:rPr>
              <w:t xml:space="preserve">official_data / eyewitness / expert_analysis / hearsay / image_video / unspecified</w:t>
            </w:r>
          </w:p>
        </w:tc>
        <w:tc>
          <w:tcPr>
            <w:tcW w:type="dxa" w:w="39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val="false"/>
                <w:bCs w:val="false"/>
                <w:color w:val="000000"/>
                <w:sz w:val="22"/>
                <w:szCs w:val="22"/>
              </w:rPr>
              <w:t xml:space="preserve">What kind of evidence backs the claim. Set by the classifier.</w:t>
            </w:r>
          </w:p>
        </w:tc>
      </w:tr>
      <w:tr>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onsolas" w:cs="Consolas" w:eastAsia="Consolas" w:hAnsi="Consolas"/>
                <w:b w:val="false"/>
                <w:bCs w:val="false"/>
                <w:color w:val="2E4057"/>
                <w:sz w:val="20"/>
                <w:szCs w:val="20"/>
              </w:rPr>
              <w:t xml:space="preserve">corroboration_count_24h</w:t>
            </w:r>
          </w:p>
        </w:tc>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val="false"/>
                <w:bCs w:val="false"/>
                <w:color w:val="000000"/>
                <w:sz w:val="22"/>
                <w:szCs w:val="22"/>
              </w:rPr>
              <w:t xml:space="preserve">integer</w:t>
            </w:r>
          </w:p>
        </w:tc>
        <w:tc>
          <w:tcPr>
            <w:tcW w:type="dxa" w:w="39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val="false"/>
                <w:bCs w:val="false"/>
                <w:color w:val="000000"/>
                <w:sz w:val="22"/>
                <w:szCs w:val="22"/>
              </w:rPr>
              <w:t xml:space="preserve">Number of independent sources reporting the same claim within 24 hours of first observation. Computed by the pipeline.</w:t>
            </w:r>
          </w:p>
        </w:tc>
      </w:tr>
      <w:tr>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onsolas" w:cs="Consolas" w:eastAsia="Consolas" w:hAnsi="Consolas"/>
                <w:b w:val="false"/>
                <w:bCs w:val="false"/>
                <w:color w:val="2E4057"/>
                <w:sz w:val="20"/>
                <w:szCs w:val="20"/>
              </w:rPr>
              <w:t xml:space="preserve">contested</w:t>
            </w:r>
          </w:p>
        </w:tc>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val="false"/>
                <w:bCs w:val="false"/>
                <w:color w:val="000000"/>
                <w:sz w:val="22"/>
                <w:szCs w:val="22"/>
              </w:rPr>
              <w:t xml:space="preserve">true / false</w:t>
            </w:r>
          </w:p>
        </w:tc>
        <w:tc>
          <w:tcPr>
            <w:tcW w:type="dxa" w:w="39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val="false"/>
                <w:bCs w:val="false"/>
                <w:color w:val="000000"/>
                <w:sz w:val="22"/>
                <w:szCs w:val="22"/>
              </w:rPr>
              <w:t xml:space="preserve">Whether a credible competing claim exists elsewhere in the archive. Computed by the pipeline.</w:t>
            </w:r>
          </w:p>
        </w:tc>
      </w:tr>
      <w:tr>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onsolas" w:cs="Consolas" w:eastAsia="Consolas" w:hAnsi="Consolas"/>
                <w:b w:val="false"/>
                <w:bCs w:val="false"/>
                <w:color w:val="2E4057"/>
                <w:sz w:val="20"/>
                <w:szCs w:val="20"/>
              </w:rPr>
              <w:t xml:space="preserve">correction_status</w:t>
            </w:r>
          </w:p>
        </w:tc>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val="false"/>
                <w:bCs w:val="false"/>
                <w:color w:val="000000"/>
                <w:sz w:val="22"/>
                <w:szCs w:val="22"/>
              </w:rPr>
              <w:t xml:space="preserve">current / corrected / retracted / disputed</w:t>
            </w:r>
          </w:p>
        </w:tc>
        <w:tc>
          <w:tcPr>
            <w:tcW w:type="dxa" w:w="39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val="false"/>
                <w:bCs w:val="false"/>
                <w:color w:val="000000"/>
                <w:sz w:val="22"/>
                <w:szCs w:val="22"/>
              </w:rPr>
              <w:t xml:space="preserve">Current correction state of the claim. Updated as the situation evolves.</w:t>
            </w:r>
          </w:p>
        </w:tc>
      </w:tr>
      <w:tr>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onsolas" w:cs="Consolas" w:eastAsia="Consolas" w:hAnsi="Consolas"/>
                <w:b w:val="false"/>
                <w:bCs w:val="false"/>
                <w:color w:val="2E4057"/>
                <w:sz w:val="20"/>
                <w:szCs w:val="20"/>
              </w:rPr>
              <w:t xml:space="preserve">risk_score</w:t>
            </w:r>
          </w:p>
        </w:tc>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val="false"/>
                <w:bCs w:val="false"/>
                <w:color w:val="000000"/>
                <w:sz w:val="22"/>
                <w:szCs w:val="22"/>
              </w:rPr>
              <w:t xml:space="preserve">0.0 to 1.0</w:t>
            </w:r>
          </w:p>
        </w:tc>
        <w:tc>
          <w:tcPr>
            <w:tcW w:type="dxa" w:w="39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val="false"/>
                <w:bCs w:val="false"/>
                <w:color w:val="000000"/>
                <w:sz w:val="22"/>
                <w:szCs w:val="22"/>
              </w:rPr>
              <w:t xml:space="preserve">Final misinfo risk score, computed from the other fields by a tunable formula. Re-computable when the formula changes.</w:t>
            </w:r>
          </w:p>
        </w:tc>
      </w:tr>
      <w:tr>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onsolas" w:cs="Consolas" w:eastAsia="Consolas" w:hAnsi="Consolas"/>
                <w:b w:val="false"/>
                <w:bCs w:val="false"/>
                <w:color w:val="2E4057"/>
                <w:sz w:val="20"/>
                <w:szCs w:val="20"/>
              </w:rPr>
              <w:t xml:space="preserve">risk_band</w:t>
            </w:r>
          </w:p>
        </w:tc>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val="false"/>
                <w:bCs w:val="false"/>
                <w:color w:val="000000"/>
                <w:sz w:val="22"/>
                <w:szCs w:val="22"/>
              </w:rPr>
              <w:t xml:space="preserve">low / medium / high / critical</w:t>
            </w:r>
          </w:p>
        </w:tc>
        <w:tc>
          <w:tcPr>
            <w:tcW w:type="dxa" w:w="39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val="false"/>
                <w:bCs w:val="false"/>
                <w:color w:val="000000"/>
                <w:sz w:val="22"/>
                <w:szCs w:val="22"/>
              </w:rPr>
              <w:t xml:space="preserve">Discretized version of risk_score for fast UI filtering. Derived; denormalized for performance.</w:t>
            </w:r>
          </w:p>
        </w:tc>
      </w:tr>
      <w:tr>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onsolas" w:cs="Consolas" w:eastAsia="Consolas" w:hAnsi="Consolas"/>
                <w:b w:val="false"/>
                <w:bCs w:val="false"/>
                <w:color w:val="2E4057"/>
                <w:sz w:val="20"/>
                <w:szCs w:val="20"/>
              </w:rPr>
              <w:t xml:space="preserve">human_reviewed</w:t>
            </w:r>
          </w:p>
        </w:tc>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val="false"/>
                <w:bCs w:val="false"/>
                <w:color w:val="000000"/>
                <w:sz w:val="22"/>
                <w:szCs w:val="22"/>
              </w:rPr>
              <w:t xml:space="preserve">unreviewed / confirmed_clean / confirmed_misinfo / disputed</w:t>
            </w:r>
          </w:p>
        </w:tc>
        <w:tc>
          <w:tcPr>
            <w:tcW w:type="dxa" w:w="39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val="false"/>
                <w:bCs w:val="false"/>
                <w:color w:val="000000"/>
                <w:sz w:val="22"/>
                <w:szCs w:val="22"/>
              </w:rPr>
              <w:t xml:space="preserve">Status of human review. The appeal and moderation mechanism lives here.</w:t>
            </w:r>
          </w:p>
        </w:tc>
      </w:tr>
    </w:tbl>
    <w:p>
      <w:pPr>
        <w:spacing w:after="80" w:before="80"/>
      </w:pPr>
      <w:r>
        <w:t xml:space="preserve"/>
      </w:r>
    </w:p>
    <w:p>
      <w:pPr>
        <w:pStyle w:val="Heading3"/>
        <w:spacing w:after="110" w:before="220"/>
      </w:pPr>
      <w:r>
        <w:rPr>
          <w:rFonts w:ascii="Calibri" w:cs="Calibri" w:eastAsia="Calibri" w:hAnsi="Calibri"/>
          <w:b/>
          <w:bCs/>
          <w:color w:val="C8553D"/>
          <w:sz w:val="26"/>
          <w:szCs w:val="26"/>
        </w:rPr>
        <w:t xml:space="preserve">Why these particular fields</w:t>
      </w:r>
    </w:p>
    <w:p>
      <w:pPr>
        <w:spacing w:after="60" w:before="60" w:line="320"/>
      </w:pPr>
      <w:r>
        <w:rPr>
          <w:rFonts w:ascii="Calibri" w:cs="Calibri" w:eastAsia="Calibri" w:hAnsi="Calibri"/>
          <w:sz w:val="22"/>
          <w:szCs w:val="22"/>
        </w:rPr>
        <w:t xml:space="preserve">Source tier alone is necessary but insufficient. Tier-1 sources occasionally publish errors; tier-4 sources occasionally break true news. The signal is in the combination of fields, not in any one of them.</w:t>
      </w:r>
    </w:p>
    <w:p>
      <w:pPr>
        <w:spacing w:after="60" w:before="60" w:line="320"/>
      </w:pPr>
      <w:r>
        <w:rPr>
          <w:rFonts w:ascii="Calibri" w:cs="Calibri" w:eastAsia="Calibri" w:hAnsi="Calibri"/>
          <w:sz w:val="22"/>
          <w:szCs w:val="22"/>
        </w:rPr>
        <w:t xml:space="preserve">Corroboration count captures a specific pattern: real news spreads across multiple independent outlets quickly. Rumors often originate in one place and stay there before being amplified. A factual-looking claim with zero corroborations after 24 hours is structurally suspicious; the same claim with eight corroborations is structurally credible.</w:t>
      </w:r>
    </w:p>
    <w:p>
      <w:pPr>
        <w:spacing w:after="60" w:before="60" w:line="320"/>
      </w:pPr>
      <w:r>
        <w:rPr>
          <w:rFonts w:ascii="Calibri" w:cs="Calibri" w:eastAsia="Calibri" w:hAnsi="Calibri"/>
          <w:sz w:val="22"/>
          <w:szCs w:val="22"/>
        </w:rPr>
        <w:t xml:space="preserve">The contested field captures a deeper signal: someone credible is saying something different. This can mean genuine controversy or successful debunking — in either case, readers should see the competing view.</w:t>
      </w:r>
    </w:p>
    <w:p>
      <w:pPr>
        <w:spacing w:after="60" w:before="60" w:line="320"/>
      </w:pPr>
      <w:r>
        <w:rPr>
          <w:rFonts w:ascii="Calibri" w:cs="Calibri" w:eastAsia="Calibri" w:hAnsi="Calibri"/>
          <w:sz w:val="22"/>
          <w:szCs w:val="22"/>
        </w:rPr>
        <w:t xml:space="preserve">Correction status lets corrected claims stay queryable but flagged. Nothing is deleted; the historical record is preserved. This matters legally (taking down content can be more legally fraught than annotating it) and intellectually (researchers studying misinformation patterns need the original rumor to remain visible).</w:t>
      </w:r>
    </w:p>
    <w:p>
      <w:pPr>
        <w:spacing w:after="60" w:before="60" w:line="320"/>
      </w:pPr>
      <w:r>
        <w:rPr>
          <w:rFonts w:ascii="Calibri" w:cs="Calibri" w:eastAsia="Calibri" w:hAnsi="Calibri"/>
          <w:sz w:val="22"/>
          <w:szCs w:val="22"/>
        </w:rPr>
        <w:t xml:space="preserve">Human review is the appeal mechanism. High-risk auto-flags get reviewed by humans before they appear publicly as confirmed misinformation. This protects the platform from false positives that could damage credibility and create defamation exposure.</w:t>
      </w:r>
    </w:p>
    <w:p>
      <w:pPr>
        <w:pStyle w:val="Heading3"/>
        <w:spacing w:after="110" w:before="220"/>
      </w:pPr>
      <w:r>
        <w:rPr>
          <w:rFonts w:ascii="Calibri" w:cs="Calibri" w:eastAsia="Calibri" w:hAnsi="Calibri"/>
          <w:b/>
          <w:bCs/>
          <w:color w:val="C8553D"/>
          <w:sz w:val="26"/>
          <w:szCs w:val="26"/>
        </w:rPr>
        <w:t xml:space="preserve">Information Quality in action — risk scoring four real-shaped articles</w:t>
      </w:r>
    </w:p>
    <w:p>
      <w:pPr>
        <w:spacing w:after="60" w:before="60" w:line="320"/>
      </w:pPr>
      <w:r>
        <w:rPr>
          <w:rFonts w:ascii="Calibri" w:cs="Calibri" w:eastAsia="Calibri" w:hAnsi="Calibri"/>
          <w:b/>
          <w:bCs/>
          <w:sz w:val="22"/>
          <w:szCs w:val="22"/>
        </w:rPr>
        <w:t xml:space="preserve">Article A. </w:t>
      </w:r>
      <w:r>
        <w:rPr>
          <w:rFonts w:ascii="Calibri" w:cs="Calibri" w:eastAsia="Calibri" w:hAnsi="Calibri"/>
          <w:i/>
          <w:iCs/>
          <w:sz w:val="22"/>
          <w:szCs w:val="22"/>
        </w:rPr>
        <w:t xml:space="preserve">PTI wire report on FSSAI raids, picked up by 8 major outlets within 6 hours, no contradicting voices.</w:t>
      </w:r>
    </w:p>
    <w:p>
      <w:pPr>
        <w:pStyle w:val="ListParagraph"/>
        <w:numPr>
          <w:ilvl w:val="0"/>
          <w:numId w:val="2"/>
        </w:numPr>
        <w:spacing w:after="40" w:before="40" w:line="300"/>
      </w:pPr>
      <w:r>
        <w:rPr>
          <w:rFonts w:ascii="Consolas" w:cs="Consolas" w:eastAsia="Consolas" w:hAnsi="Consolas"/>
          <w:b w:val="false"/>
          <w:bCs w:val="false"/>
          <w:color w:val="2E4057"/>
          <w:sz w:val="20"/>
          <w:szCs w:val="20"/>
        </w:rPr>
        <w:t xml:space="preserve">source_tier=1</w:t>
      </w:r>
      <w:r>
        <w:rPr>
          <w:rFonts w:ascii="Calibri" w:cs="Calibri" w:eastAsia="Calibri" w:hAnsi="Calibri"/>
          <w:sz w:val="22"/>
          <w:szCs w:val="22"/>
        </w:rPr>
        <w:t xml:space="preserve">, </w:t>
      </w:r>
      <w:r>
        <w:rPr>
          <w:rFonts w:ascii="Consolas" w:cs="Consolas" w:eastAsia="Consolas" w:hAnsi="Consolas"/>
          <w:b w:val="false"/>
          <w:bCs w:val="false"/>
          <w:color w:val="2E4057"/>
          <w:sz w:val="20"/>
          <w:szCs w:val="20"/>
        </w:rPr>
        <w:t xml:space="preserve">claim_type=factual</w:t>
      </w:r>
      <w:r>
        <w:rPr>
          <w:rFonts w:ascii="Calibri" w:cs="Calibri" w:eastAsia="Calibri" w:hAnsi="Calibri"/>
          <w:sz w:val="22"/>
          <w:szCs w:val="22"/>
        </w:rPr>
        <w:t xml:space="preserve">, </w:t>
      </w:r>
      <w:r>
        <w:rPr>
          <w:rFonts w:ascii="Consolas" w:cs="Consolas" w:eastAsia="Consolas" w:hAnsi="Consolas"/>
          <w:b w:val="false"/>
          <w:bCs w:val="false"/>
          <w:color w:val="2E4057"/>
          <w:sz w:val="20"/>
          <w:szCs w:val="20"/>
        </w:rPr>
        <w:t xml:space="preserve">evidence_type=official_data</w:t>
      </w:r>
      <w:r>
        <w:rPr>
          <w:rFonts w:ascii="Calibri" w:cs="Calibri" w:eastAsia="Calibri" w:hAnsi="Calibri"/>
          <w:sz w:val="22"/>
          <w:szCs w:val="22"/>
        </w:rPr>
        <w:t xml:space="preserve">, </w:t>
      </w:r>
      <w:r>
        <w:rPr>
          <w:rFonts w:ascii="Consolas" w:cs="Consolas" w:eastAsia="Consolas" w:hAnsi="Consolas"/>
          <w:b w:val="false"/>
          <w:bCs w:val="false"/>
          <w:color w:val="2E4057"/>
          <w:sz w:val="20"/>
          <w:szCs w:val="20"/>
        </w:rPr>
        <w:t xml:space="preserve">corroboration_24h=9</w:t>
      </w:r>
      <w:r>
        <w:rPr>
          <w:rFonts w:ascii="Calibri" w:cs="Calibri" w:eastAsia="Calibri" w:hAnsi="Calibri"/>
          <w:sz w:val="22"/>
          <w:szCs w:val="22"/>
        </w:rPr>
        <w:t xml:space="preserve">, </w:t>
      </w:r>
      <w:r>
        <w:rPr>
          <w:rFonts w:ascii="Consolas" w:cs="Consolas" w:eastAsia="Consolas" w:hAnsi="Consolas"/>
          <w:b w:val="false"/>
          <w:bCs w:val="false"/>
          <w:color w:val="2E4057"/>
          <w:sz w:val="20"/>
          <w:szCs w:val="20"/>
        </w:rPr>
        <w:t xml:space="preserve">contested=false</w:t>
      </w:r>
      <w:r>
        <w:rPr>
          <w:rFonts w:ascii="Calibri" w:cs="Calibri" w:eastAsia="Calibri" w:hAnsi="Calibri"/>
          <w:sz w:val="22"/>
          <w:szCs w:val="22"/>
        </w:rPr>
        <w:t xml:space="preserve">, </w:t>
      </w:r>
      <w:r>
        <w:rPr>
          <w:rFonts w:ascii="Consolas" w:cs="Consolas" w:eastAsia="Consolas" w:hAnsi="Consolas"/>
          <w:b w:val="false"/>
          <w:bCs w:val="false"/>
          <w:color w:val="2E4057"/>
          <w:sz w:val="20"/>
          <w:szCs w:val="20"/>
        </w:rPr>
        <w:t xml:space="preserve">risk_band=low</w:t>
      </w:r>
    </w:p>
    <w:p>
      <w:pPr>
        <w:spacing w:after="60" w:before="60" w:line="320"/>
      </w:pPr>
      <w:r>
        <w:rPr>
          <w:rFonts w:ascii="Calibri" w:cs="Calibri" w:eastAsia="Calibri" w:hAnsi="Calibri"/>
          <w:b/>
          <w:bCs/>
          <w:sz w:val="22"/>
          <w:szCs w:val="22"/>
        </w:rPr>
        <w:t xml:space="preserve">Article B. </w:t>
      </w:r>
      <w:r>
        <w:rPr>
          <w:rFonts w:ascii="Calibri" w:cs="Calibri" w:eastAsia="Calibri" w:hAnsi="Calibri"/>
          <w:i/>
          <w:iCs/>
          <w:sz w:val="22"/>
          <w:szCs w:val="22"/>
        </w:rPr>
        <w:t xml:space="preserve">WhatsApp-forwarded image and text claiming a stampede at Ramkund killed 30 people, no major outlet reporting it.</w:t>
      </w:r>
    </w:p>
    <w:p>
      <w:pPr>
        <w:pStyle w:val="ListParagraph"/>
        <w:numPr>
          <w:ilvl w:val="0"/>
          <w:numId w:val="2"/>
        </w:numPr>
        <w:spacing w:after="40" w:before="40" w:line="300"/>
      </w:pPr>
      <w:r>
        <w:rPr>
          <w:rFonts w:ascii="Consolas" w:cs="Consolas" w:eastAsia="Consolas" w:hAnsi="Consolas"/>
          <w:b w:val="false"/>
          <w:bCs w:val="false"/>
          <w:color w:val="2E4057"/>
          <w:sz w:val="20"/>
          <w:szCs w:val="20"/>
        </w:rPr>
        <w:t xml:space="preserve">source_tier=4</w:t>
      </w:r>
      <w:r>
        <w:rPr>
          <w:rFonts w:ascii="Calibri" w:cs="Calibri" w:eastAsia="Calibri" w:hAnsi="Calibri"/>
          <w:sz w:val="22"/>
          <w:szCs w:val="22"/>
        </w:rPr>
        <w:t xml:space="preserve">, </w:t>
      </w:r>
      <w:r>
        <w:rPr>
          <w:rFonts w:ascii="Consolas" w:cs="Consolas" w:eastAsia="Consolas" w:hAnsi="Consolas"/>
          <w:b w:val="false"/>
          <w:bCs w:val="false"/>
          <w:color w:val="2E4057"/>
          <w:sz w:val="20"/>
          <w:szCs w:val="20"/>
        </w:rPr>
        <w:t xml:space="preserve">claim_type=rumor</w:t>
      </w:r>
      <w:r>
        <w:rPr>
          <w:rFonts w:ascii="Calibri" w:cs="Calibri" w:eastAsia="Calibri" w:hAnsi="Calibri"/>
          <w:sz w:val="22"/>
          <w:szCs w:val="22"/>
        </w:rPr>
        <w:t xml:space="preserve">, </w:t>
      </w:r>
      <w:r>
        <w:rPr>
          <w:rFonts w:ascii="Consolas" w:cs="Consolas" w:eastAsia="Consolas" w:hAnsi="Consolas"/>
          <w:b w:val="false"/>
          <w:bCs w:val="false"/>
          <w:color w:val="2E4057"/>
          <w:sz w:val="20"/>
          <w:szCs w:val="20"/>
        </w:rPr>
        <w:t xml:space="preserve">evidence_type=hearsay</w:t>
      </w:r>
      <w:r>
        <w:rPr>
          <w:rFonts w:ascii="Calibri" w:cs="Calibri" w:eastAsia="Calibri" w:hAnsi="Calibri"/>
          <w:sz w:val="22"/>
          <w:szCs w:val="22"/>
        </w:rPr>
        <w:t xml:space="preserve">, </w:t>
      </w:r>
      <w:r>
        <w:rPr>
          <w:rFonts w:ascii="Consolas" w:cs="Consolas" w:eastAsia="Consolas" w:hAnsi="Consolas"/>
          <w:b w:val="false"/>
          <w:bCs w:val="false"/>
          <w:color w:val="2E4057"/>
          <w:sz w:val="20"/>
          <w:szCs w:val="20"/>
        </w:rPr>
        <w:t xml:space="preserve">corroboration_24h=0</w:t>
      </w:r>
      <w:r>
        <w:rPr>
          <w:rFonts w:ascii="Calibri" w:cs="Calibri" w:eastAsia="Calibri" w:hAnsi="Calibri"/>
          <w:sz w:val="22"/>
          <w:szCs w:val="22"/>
        </w:rPr>
        <w:t xml:space="preserve">, </w:t>
      </w:r>
      <w:r>
        <w:rPr>
          <w:rFonts w:ascii="Consolas" w:cs="Consolas" w:eastAsia="Consolas" w:hAnsi="Consolas"/>
          <w:b w:val="false"/>
          <w:bCs w:val="false"/>
          <w:color w:val="2E4057"/>
          <w:sz w:val="20"/>
          <w:szCs w:val="20"/>
        </w:rPr>
        <w:t xml:space="preserve">contested=true</w:t>
      </w:r>
      <w:r>
        <w:rPr>
          <w:rFonts w:ascii="Calibri" w:cs="Calibri" w:eastAsia="Calibri" w:hAnsi="Calibri"/>
          <w:sz w:val="22"/>
          <w:szCs w:val="22"/>
        </w:rPr>
        <w:t xml:space="preserve"> (police statement contradicts), </w:t>
      </w:r>
      <w:r>
        <w:rPr>
          <w:rFonts w:ascii="Consolas" w:cs="Consolas" w:eastAsia="Consolas" w:hAnsi="Consolas"/>
          <w:b w:val="false"/>
          <w:bCs w:val="false"/>
          <w:color w:val="2E4057"/>
          <w:sz w:val="20"/>
          <w:szCs w:val="20"/>
        </w:rPr>
        <w:t xml:space="preserve">correction_status=disputed</w:t>
      </w:r>
      <w:r>
        <w:rPr>
          <w:rFonts w:ascii="Calibri" w:cs="Calibri" w:eastAsia="Calibri" w:hAnsi="Calibri"/>
          <w:sz w:val="22"/>
          <w:szCs w:val="22"/>
        </w:rPr>
        <w:t xml:space="preserve">, </w:t>
      </w:r>
      <w:r>
        <w:rPr>
          <w:rFonts w:ascii="Consolas" w:cs="Consolas" w:eastAsia="Consolas" w:hAnsi="Consolas"/>
          <w:b w:val="false"/>
          <w:bCs w:val="false"/>
          <w:color w:val="2E4057"/>
          <w:sz w:val="20"/>
          <w:szCs w:val="20"/>
        </w:rPr>
        <w:t xml:space="preserve">risk_band=critical</w:t>
      </w:r>
      <w:r>
        <w:rPr>
          <w:rFonts w:ascii="Calibri" w:cs="Calibri" w:eastAsia="Calibri" w:hAnsi="Calibri"/>
          <w:sz w:val="22"/>
          <w:szCs w:val="22"/>
        </w:rPr>
        <w:t xml:space="preserve"> → enters the human review queue</w:t>
      </w:r>
    </w:p>
    <w:p>
      <w:pPr>
        <w:spacing w:after="60" w:before="60" w:line="320"/>
      </w:pPr>
      <w:r>
        <w:rPr>
          <w:rFonts w:ascii="Calibri" w:cs="Calibri" w:eastAsia="Calibri" w:hAnsi="Calibri"/>
          <w:b/>
          <w:bCs/>
          <w:sz w:val="22"/>
          <w:szCs w:val="22"/>
        </w:rPr>
        <w:t xml:space="preserve">Article C. </w:t>
      </w:r>
      <w:r>
        <w:rPr>
          <w:rFonts w:ascii="Calibri" w:cs="Calibri" w:eastAsia="Calibri" w:hAnsi="Calibri"/>
          <w:i/>
          <w:iCs/>
          <w:sz w:val="22"/>
          <w:szCs w:val="22"/>
        </w:rPr>
        <w:t xml:space="preserve">Op-ed in a national outlet criticizing the river-cleaning budget.</w:t>
      </w:r>
    </w:p>
    <w:p>
      <w:pPr>
        <w:pStyle w:val="ListParagraph"/>
        <w:numPr>
          <w:ilvl w:val="0"/>
          <w:numId w:val="2"/>
        </w:numPr>
        <w:spacing w:after="40" w:before="40" w:line="300"/>
      </w:pPr>
      <w:r>
        <w:rPr>
          <w:rFonts w:ascii="Consolas" w:cs="Consolas" w:eastAsia="Consolas" w:hAnsi="Consolas"/>
          <w:b w:val="false"/>
          <w:bCs w:val="false"/>
          <w:color w:val="2E4057"/>
          <w:sz w:val="20"/>
          <w:szCs w:val="20"/>
        </w:rPr>
        <w:t xml:space="preserve">source_tier=2</w:t>
      </w:r>
      <w:r>
        <w:rPr>
          <w:rFonts w:ascii="Calibri" w:cs="Calibri" w:eastAsia="Calibri" w:hAnsi="Calibri"/>
          <w:sz w:val="22"/>
          <w:szCs w:val="22"/>
        </w:rPr>
        <w:t xml:space="preserve">, </w:t>
      </w:r>
      <w:r>
        <w:rPr>
          <w:rFonts w:ascii="Consolas" w:cs="Consolas" w:eastAsia="Consolas" w:hAnsi="Consolas"/>
          <w:b w:val="false"/>
          <w:bCs w:val="false"/>
          <w:color w:val="2E4057"/>
          <w:sz w:val="20"/>
          <w:szCs w:val="20"/>
        </w:rPr>
        <w:t xml:space="preserve">claim_type=opinion</w:t>
      </w:r>
      <w:r>
        <w:rPr>
          <w:rFonts w:ascii="Calibri" w:cs="Calibri" w:eastAsia="Calibri" w:hAnsi="Calibri"/>
          <w:sz w:val="22"/>
          <w:szCs w:val="22"/>
        </w:rPr>
        <w:t xml:space="preserve">, </w:t>
      </w:r>
      <w:r>
        <w:rPr>
          <w:rFonts w:ascii="Consolas" w:cs="Consolas" w:eastAsia="Consolas" w:hAnsi="Consolas"/>
          <w:b w:val="false"/>
          <w:bCs w:val="false"/>
          <w:color w:val="2E4057"/>
          <w:sz w:val="20"/>
          <w:szCs w:val="20"/>
        </w:rPr>
        <w:t xml:space="preserve">evidence_type=expert_analysis</w:t>
      </w:r>
      <w:r>
        <w:rPr>
          <w:rFonts w:ascii="Calibri" w:cs="Calibri" w:eastAsia="Calibri" w:hAnsi="Calibri"/>
          <w:sz w:val="22"/>
          <w:szCs w:val="22"/>
        </w:rPr>
        <w:t xml:space="preserve">, </w:t>
      </w:r>
      <w:r>
        <w:rPr>
          <w:rFonts w:ascii="Consolas" w:cs="Consolas" w:eastAsia="Consolas" w:hAnsi="Consolas"/>
          <w:b w:val="false"/>
          <w:bCs w:val="false"/>
          <w:color w:val="2E4057"/>
          <w:sz w:val="20"/>
          <w:szCs w:val="20"/>
        </w:rPr>
        <w:t xml:space="preserve">corroboration_24h</w:t>
      </w:r>
      <w:r>
        <w:rPr>
          <w:rFonts w:ascii="Calibri" w:cs="Calibri" w:eastAsia="Calibri" w:hAnsi="Calibri"/>
          <w:sz w:val="22"/>
          <w:szCs w:val="22"/>
        </w:rPr>
        <w:t xml:space="preserve"> not meaningful for opinion, </w:t>
      </w:r>
      <w:r>
        <w:rPr>
          <w:rFonts w:ascii="Consolas" w:cs="Consolas" w:eastAsia="Consolas" w:hAnsi="Consolas"/>
          <w:b w:val="false"/>
          <w:bCs w:val="false"/>
          <w:color w:val="2E4057"/>
          <w:sz w:val="20"/>
          <w:szCs w:val="20"/>
        </w:rPr>
        <w:t xml:space="preserve">contested=false</w:t>
      </w:r>
      <w:r>
        <w:rPr>
          <w:rFonts w:ascii="Calibri" w:cs="Calibri" w:eastAsia="Calibri" w:hAnsi="Calibri"/>
          <w:sz w:val="22"/>
          <w:szCs w:val="22"/>
        </w:rPr>
        <w:t xml:space="preserve">, </w:t>
      </w:r>
      <w:r>
        <w:rPr>
          <w:rFonts w:ascii="Consolas" w:cs="Consolas" w:eastAsia="Consolas" w:hAnsi="Consolas"/>
          <w:b w:val="false"/>
          <w:bCs w:val="false"/>
          <w:color w:val="2E4057"/>
          <w:sz w:val="20"/>
          <w:szCs w:val="20"/>
        </w:rPr>
        <w:t xml:space="preserve">risk_band=low</w:t>
      </w:r>
      <w:r>
        <w:rPr>
          <w:rFonts w:ascii="Calibri" w:cs="Calibri" w:eastAsia="Calibri" w:hAnsi="Calibri"/>
          <w:sz w:val="22"/>
          <w:szCs w:val="22"/>
        </w:rPr>
        <w:t xml:space="preserve">. Opinion clearly framed as opinion carries low misinfo risk.</w:t>
      </w:r>
    </w:p>
    <w:p>
      <w:pPr>
        <w:spacing w:after="60" w:before="60" w:line="320"/>
      </w:pPr>
      <w:r>
        <w:rPr>
          <w:rFonts w:ascii="Calibri" w:cs="Calibri" w:eastAsia="Calibri" w:hAnsi="Calibri"/>
          <w:b/>
          <w:bCs/>
          <w:sz w:val="22"/>
          <w:szCs w:val="22"/>
        </w:rPr>
        <w:t xml:space="preserve">Article D. </w:t>
      </w:r>
      <w:r>
        <w:rPr>
          <w:rFonts w:ascii="Calibri" w:cs="Calibri" w:eastAsia="Calibri" w:hAnsi="Calibri"/>
          <w:i/>
          <w:iCs/>
          <w:sz w:val="22"/>
          <w:szCs w:val="22"/>
        </w:rPr>
        <w:t xml:space="preserve">A regional outlet breaks news of a contractor fraud. At first, no other outlet has confirmed it.</w:t>
      </w:r>
    </w:p>
    <w:p>
      <w:pPr>
        <w:pStyle w:val="ListParagraph"/>
        <w:numPr>
          <w:ilvl w:val="0"/>
          <w:numId w:val="2"/>
        </w:numPr>
        <w:spacing w:after="40" w:before="40" w:line="300"/>
      </w:pPr>
      <w:r>
        <w:rPr>
          <w:rFonts w:ascii="Calibri" w:cs="Calibri" w:eastAsia="Calibri" w:hAnsi="Calibri"/>
          <w:sz w:val="22"/>
          <w:szCs w:val="22"/>
        </w:rPr>
        <w:t xml:space="preserve">Initially: </w:t>
      </w:r>
      <w:r>
        <w:rPr>
          <w:rFonts w:ascii="Consolas" w:cs="Consolas" w:eastAsia="Consolas" w:hAnsi="Consolas"/>
          <w:b w:val="false"/>
          <w:bCs w:val="false"/>
          <w:color w:val="2E4057"/>
          <w:sz w:val="20"/>
          <w:szCs w:val="20"/>
        </w:rPr>
        <w:t xml:space="preserve">source_tier=3</w:t>
      </w:r>
      <w:r>
        <w:rPr>
          <w:rFonts w:ascii="Calibri" w:cs="Calibri" w:eastAsia="Calibri" w:hAnsi="Calibri"/>
          <w:sz w:val="22"/>
          <w:szCs w:val="22"/>
        </w:rPr>
        <w:t xml:space="preserve">, </w:t>
      </w:r>
      <w:r>
        <w:rPr>
          <w:rFonts w:ascii="Consolas" w:cs="Consolas" w:eastAsia="Consolas" w:hAnsi="Consolas"/>
          <w:b w:val="false"/>
          <w:bCs w:val="false"/>
          <w:color w:val="2E4057"/>
          <w:sz w:val="20"/>
          <w:szCs w:val="20"/>
        </w:rPr>
        <w:t xml:space="preserve">claim_type=factual</w:t>
      </w:r>
      <w:r>
        <w:rPr>
          <w:rFonts w:ascii="Calibri" w:cs="Calibri" w:eastAsia="Calibri" w:hAnsi="Calibri"/>
          <w:sz w:val="22"/>
          <w:szCs w:val="22"/>
        </w:rPr>
        <w:t xml:space="preserve">, </w:t>
      </w:r>
      <w:r>
        <w:rPr>
          <w:rFonts w:ascii="Consolas" w:cs="Consolas" w:eastAsia="Consolas" w:hAnsi="Consolas"/>
          <w:b w:val="false"/>
          <w:bCs w:val="false"/>
          <w:color w:val="2E4057"/>
          <w:sz w:val="20"/>
          <w:szCs w:val="20"/>
        </w:rPr>
        <w:t xml:space="preserve">evidence_type=investigation</w:t>
      </w:r>
      <w:r>
        <w:rPr>
          <w:rFonts w:ascii="Calibri" w:cs="Calibri" w:eastAsia="Calibri" w:hAnsi="Calibri"/>
          <w:sz w:val="22"/>
          <w:szCs w:val="22"/>
        </w:rPr>
        <w:t xml:space="preserve">, </w:t>
      </w:r>
      <w:r>
        <w:rPr>
          <w:rFonts w:ascii="Consolas" w:cs="Consolas" w:eastAsia="Consolas" w:hAnsi="Consolas"/>
          <w:b w:val="false"/>
          <w:bCs w:val="false"/>
          <w:color w:val="2E4057"/>
          <w:sz w:val="20"/>
          <w:szCs w:val="20"/>
        </w:rPr>
        <w:t xml:space="preserve">corroboration_24h=1</w:t>
      </w:r>
      <w:r>
        <w:rPr>
          <w:rFonts w:ascii="Calibri" w:cs="Calibri" w:eastAsia="Calibri" w:hAnsi="Calibri"/>
          <w:sz w:val="22"/>
          <w:szCs w:val="22"/>
        </w:rPr>
        <w:t xml:space="preserve">, </w:t>
      </w:r>
      <w:r>
        <w:rPr>
          <w:rFonts w:ascii="Consolas" w:cs="Consolas" w:eastAsia="Consolas" w:hAnsi="Consolas"/>
          <w:b w:val="false"/>
          <w:bCs w:val="false"/>
          <w:color w:val="2E4057"/>
          <w:sz w:val="20"/>
          <w:szCs w:val="20"/>
        </w:rPr>
        <w:t xml:space="preserve">risk_band=medium</w:t>
      </w:r>
    </w:p>
    <w:p>
      <w:pPr>
        <w:pStyle w:val="ListParagraph"/>
        <w:numPr>
          <w:ilvl w:val="0"/>
          <w:numId w:val="2"/>
        </w:numPr>
        <w:spacing w:after="40" w:before="40" w:line="300"/>
      </w:pPr>
      <w:r>
        <w:rPr>
          <w:rFonts w:ascii="Calibri" w:cs="Calibri" w:eastAsia="Calibri" w:hAnsi="Calibri"/>
          <w:sz w:val="22"/>
          <w:szCs w:val="22"/>
        </w:rPr>
        <w:t xml:space="preserve">36 hours later, after corroboration: </w:t>
      </w:r>
      <w:r>
        <w:rPr>
          <w:rFonts w:ascii="Consolas" w:cs="Consolas" w:eastAsia="Consolas" w:hAnsi="Consolas"/>
          <w:b w:val="false"/>
          <w:bCs w:val="false"/>
          <w:color w:val="2E4057"/>
          <w:sz w:val="20"/>
          <w:szCs w:val="20"/>
        </w:rPr>
        <w:t xml:space="preserve">corroboration_24h=6</w:t>
      </w:r>
      <w:r>
        <w:rPr>
          <w:rFonts w:ascii="Calibri" w:cs="Calibri" w:eastAsia="Calibri" w:hAnsi="Calibri"/>
          <w:sz w:val="22"/>
          <w:szCs w:val="22"/>
        </w:rPr>
        <w:t xml:space="preserve">, </w:t>
      </w:r>
      <w:r>
        <w:rPr>
          <w:rFonts w:ascii="Consolas" w:cs="Consolas" w:eastAsia="Consolas" w:hAnsi="Consolas"/>
          <w:b w:val="false"/>
          <w:bCs w:val="false"/>
          <w:color w:val="2E4057"/>
          <w:sz w:val="20"/>
          <w:szCs w:val="20"/>
        </w:rPr>
        <w:t xml:space="preserve">risk_band=low</w:t>
      </w:r>
    </w:p>
    <w:p>
      <w:pPr>
        <w:spacing w:after="60" w:before="60" w:line="320"/>
      </w:pPr>
      <w:r>
        <w:rPr>
          <w:rFonts w:ascii="Calibri" w:cs="Calibri" w:eastAsia="Calibri" w:hAnsi="Calibri"/>
          <w:sz w:val="22"/>
          <w:szCs w:val="22"/>
        </w:rPr>
        <w:t xml:space="preserve">The Article D example shows the most important property of Information Quality: the score is not static. It is re-computed as the situation evolves. Genuine reporting that initially looks weak gets re-scored as the world catches up. False claims that initially look strong get re-scored as contradictions accumulate.</w:t>
      </w:r>
    </w:p>
    <w:p>
      <w:r>
        <w:br w:type="page"/>
      </w:r>
    </w:p>
    <w:p>
      <w:pPr>
        <w:pStyle w:val="Heading1"/>
        <w:spacing w:after="180" w:before="360"/>
      </w:pPr>
      <w:r>
        <w:rPr>
          <w:rFonts w:ascii="Calibri" w:cs="Calibri" w:eastAsia="Calibri" w:hAnsi="Calibri"/>
          <w:b/>
          <w:bCs/>
          <w:color w:val="2E4057"/>
          <w:sz w:val="36"/>
          <w:szCs w:val="36"/>
        </w:rPr>
        <w:t xml:space="preserve">9. Axis 7 — Outcome Dimension</w:t>
      </w:r>
    </w:p>
    <w:p>
      <w:pPr>
        <w:spacing w:after="60" w:before="60" w:line="320"/>
      </w:pPr>
      <w:r>
        <w:rPr>
          <w:rFonts w:ascii="Calibri" w:cs="Calibri" w:eastAsia="Calibri" w:hAnsi="Calibri"/>
          <w:sz w:val="22"/>
          <w:szCs w:val="22"/>
        </w:rPr>
        <w:t xml:space="preserve">Outcome Dimension answers: what does this content affect? Themes capture topic; outcomes capture downstream impact. The two are subtly different. A road construction project (theme: roads_bridges) may have outcomes spanning public safety, economy, infrastructure legacy, and environment. Themes are nouns — what it is. Outcomes are verbs — what it does.</w:t>
      </w:r>
    </w:p>
    <w:p>
      <w:pPr>
        <w:pStyle w:val="Heading3"/>
        <w:spacing w:after="110" w:before="220"/>
      </w:pPr>
      <w:r>
        <w:rPr>
          <w:rFonts w:ascii="Calibri" w:cs="Calibri" w:eastAsia="Calibri" w:hAnsi="Calibri"/>
          <w:b/>
          <w:bCs/>
          <w:color w:val="C8553D"/>
          <w:sz w:val="26"/>
          <w:szCs w:val="26"/>
        </w:rPr>
        <w:t xml:space="preserve">Why this axis matters</w:t>
      </w:r>
    </w:p>
    <w:p>
      <w:pPr>
        <w:spacing w:after="60" w:before="60" w:line="320"/>
      </w:pPr>
      <w:r>
        <w:rPr>
          <w:rFonts w:ascii="Calibri" w:cs="Calibri" w:eastAsia="Calibri" w:hAnsi="Calibri"/>
          <w:sz w:val="22"/>
          <w:szCs w:val="22"/>
        </w:rPr>
        <w:t xml:space="preserve">This axis is what makes the archive useful for impact studies, policy evaluation, and longitudinal research. Theme tells you what existed. Outcome tells you what changed. A researcher studying public health impact does not just want all health-themed content — they want all content where public health is the downstream outcome, even if the theme itself is roads, sanitation, or technology.</w:t>
      </w:r>
    </w:p>
    <w:p>
      <w:pPr>
        <w:pStyle w:val="Heading3"/>
        <w:spacing w:after="110" w:before="220"/>
      </w:pPr>
      <w:r>
        <w:rPr>
          <w:rFonts w:ascii="Calibri" w:cs="Calibri" w:eastAsia="Calibri" w:hAnsi="Calibri"/>
          <w:b/>
          <w:bCs/>
          <w:color w:val="C8553D"/>
          <w:sz w:val="26"/>
          <w:szCs w:val="26"/>
        </w:rPr>
        <w:t xml:space="preserve">The 10 outcome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rPr>
          <w:tblHeader/>
        </w:trPr>
        <w:tc>
          <w:tcPr>
            <w:tcW w:type="dxa" w:w="3000"/>
            <w:tcBorders>
              <w:top w:val="single" w:color="D1D5DB" w:sz="4"/>
              <w:left w:val="single" w:color="D1D5DB" w:sz="4"/>
              <w:bottom w:val="single" w:color="D1D5DB" w:sz="4"/>
              <w:right w:val="single" w:color="D1D5DB" w:sz="4"/>
            </w:tcBorders>
            <w:shd w:fill="2E4057" w:val="clear"/>
            <w:tcMar>
              <w:top w:type="dxa" w:w="120"/>
              <w:left w:type="dxa" w:w="140"/>
              <w:bottom w:type="dxa" w:w="120"/>
              <w:right w:type="dxa" w:w="140"/>
            </w:tcMar>
            <w:vAlign w:val="center"/>
          </w:tcPr>
          <w:p>
            <w:pPr>
              <w:spacing w:after="0" w:before="0"/>
            </w:pPr>
            <w:r>
              <w:rPr>
                <w:rFonts w:ascii="Calibri" w:cs="Calibri" w:eastAsia="Calibri" w:hAnsi="Calibri"/>
                <w:b/>
                <w:bCs/>
                <w:color w:val="FFFFFF"/>
                <w:sz w:val="22"/>
                <w:szCs w:val="22"/>
              </w:rPr>
              <w:t xml:space="preserve">Tag ID</w:t>
            </w:r>
          </w:p>
        </w:tc>
        <w:tc>
          <w:tcPr>
            <w:tcW w:type="dxa" w:w="2400"/>
            <w:tcBorders>
              <w:top w:val="single" w:color="D1D5DB" w:sz="4"/>
              <w:left w:val="single" w:color="D1D5DB" w:sz="4"/>
              <w:bottom w:val="single" w:color="D1D5DB" w:sz="4"/>
              <w:right w:val="single" w:color="D1D5DB" w:sz="4"/>
            </w:tcBorders>
            <w:shd w:fill="2E4057" w:val="clear"/>
            <w:tcMar>
              <w:top w:type="dxa" w:w="120"/>
              <w:left w:type="dxa" w:w="140"/>
              <w:bottom w:type="dxa" w:w="120"/>
              <w:right w:type="dxa" w:w="140"/>
            </w:tcMar>
            <w:vAlign w:val="center"/>
          </w:tcPr>
          <w:p>
            <w:pPr>
              <w:spacing w:after="0" w:before="0"/>
            </w:pPr>
            <w:r>
              <w:rPr>
                <w:rFonts w:ascii="Calibri" w:cs="Calibri" w:eastAsia="Calibri" w:hAnsi="Calibri"/>
                <w:b/>
                <w:bCs/>
                <w:color w:val="FFFFFF"/>
                <w:sz w:val="22"/>
                <w:szCs w:val="22"/>
              </w:rPr>
              <w:t xml:space="preserve">Display Name</w:t>
            </w:r>
          </w:p>
        </w:tc>
        <w:tc>
          <w:tcPr>
            <w:tcW w:type="dxa" w:w="3960"/>
            <w:tcBorders>
              <w:top w:val="single" w:color="D1D5DB" w:sz="4"/>
              <w:left w:val="single" w:color="D1D5DB" w:sz="4"/>
              <w:bottom w:val="single" w:color="D1D5DB" w:sz="4"/>
              <w:right w:val="single" w:color="D1D5DB" w:sz="4"/>
            </w:tcBorders>
            <w:shd w:fill="2E4057" w:val="clear"/>
            <w:tcMar>
              <w:top w:type="dxa" w:w="120"/>
              <w:left w:type="dxa" w:w="140"/>
              <w:bottom w:type="dxa" w:w="120"/>
              <w:right w:type="dxa" w:w="140"/>
            </w:tcMar>
            <w:vAlign w:val="center"/>
          </w:tcPr>
          <w:p>
            <w:pPr>
              <w:spacing w:after="0" w:before="0"/>
            </w:pPr>
            <w:r>
              <w:rPr>
                <w:rFonts w:ascii="Calibri" w:cs="Calibri" w:eastAsia="Calibri" w:hAnsi="Calibri"/>
                <w:b/>
                <w:bCs/>
                <w:color w:val="FFFFFF"/>
                <w:sz w:val="22"/>
                <w:szCs w:val="22"/>
              </w:rPr>
              <w:t xml:space="preserve">Definition</w:t>
            </w:r>
          </w:p>
        </w:tc>
      </w:tr>
      <w:tr>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onsolas" w:cs="Consolas" w:eastAsia="Consolas" w:hAnsi="Consolas"/>
                <w:b w:val="false"/>
                <w:bCs w:val="false"/>
                <w:color w:val="2E4057"/>
                <w:sz w:val="20"/>
                <w:szCs w:val="20"/>
              </w:rPr>
              <w:t xml:space="preserve">outcome.public_health</w:t>
            </w:r>
          </w:p>
        </w:tc>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bCs/>
                <w:color w:val="000000"/>
                <w:sz w:val="22"/>
                <w:szCs w:val="22"/>
              </w:rPr>
              <w:t xml:space="preserve">Public Health</w:t>
            </w:r>
          </w:p>
        </w:tc>
        <w:tc>
          <w:tcPr>
            <w:tcW w:type="dxa" w:w="39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val="false"/>
                <w:bCs w:val="false"/>
                <w:color w:val="000000"/>
                <w:sz w:val="22"/>
                <w:szCs w:val="22"/>
              </w:rPr>
              <w:t xml:space="preserve">Health of pilgrims and host population — disease, injury, medical capacity, nutrition, sanitation as health.</w:t>
            </w:r>
          </w:p>
        </w:tc>
      </w:tr>
      <w:tr>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onsolas" w:cs="Consolas" w:eastAsia="Consolas" w:hAnsi="Consolas"/>
                <w:b w:val="false"/>
                <w:bCs w:val="false"/>
                <w:color w:val="2E4057"/>
                <w:sz w:val="20"/>
                <w:szCs w:val="20"/>
              </w:rPr>
              <w:t xml:space="preserve">outcome.public_safety</w:t>
            </w:r>
          </w:p>
        </w:tc>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bCs/>
                <w:color w:val="000000"/>
                <w:sz w:val="22"/>
                <w:szCs w:val="22"/>
              </w:rPr>
              <w:t xml:space="preserve">Public Safety</w:t>
            </w:r>
          </w:p>
        </w:tc>
        <w:tc>
          <w:tcPr>
            <w:tcW w:type="dxa" w:w="39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val="false"/>
                <w:bCs w:val="false"/>
                <w:color w:val="000000"/>
                <w:sz w:val="22"/>
                <w:szCs w:val="22"/>
              </w:rPr>
              <w:t xml:space="preserve">Physical safety and mortality risk — crowd safety, fire, transport accidents, security threats.</w:t>
            </w:r>
          </w:p>
        </w:tc>
      </w:tr>
      <w:tr>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onsolas" w:cs="Consolas" w:eastAsia="Consolas" w:hAnsi="Consolas"/>
                <w:b w:val="false"/>
                <w:bCs w:val="false"/>
                <w:color w:val="2E4057"/>
                <w:sz w:val="20"/>
                <w:szCs w:val="20"/>
              </w:rPr>
              <w:t xml:space="preserve">outcome.environment</w:t>
            </w:r>
          </w:p>
        </w:tc>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bCs/>
                <w:color w:val="000000"/>
                <w:sz w:val="22"/>
                <w:szCs w:val="22"/>
              </w:rPr>
              <w:t xml:space="preserve">Environment</w:t>
            </w:r>
          </w:p>
        </w:tc>
        <w:tc>
          <w:tcPr>
            <w:tcW w:type="dxa" w:w="39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val="false"/>
                <w:bCs w:val="false"/>
                <w:color w:val="000000"/>
                <w:sz w:val="22"/>
                <w:szCs w:val="22"/>
              </w:rPr>
              <w:t xml:space="preserve">Natural environment — river, air, ecology, biodiversity, climate impact.</w:t>
            </w:r>
          </w:p>
        </w:tc>
      </w:tr>
      <w:tr>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onsolas" w:cs="Consolas" w:eastAsia="Consolas" w:hAnsi="Consolas"/>
                <w:b w:val="false"/>
                <w:bCs w:val="false"/>
                <w:color w:val="2E4057"/>
                <w:sz w:val="20"/>
                <w:szCs w:val="20"/>
              </w:rPr>
              <w:t xml:space="preserve">outcome.economic</w:t>
            </w:r>
          </w:p>
        </w:tc>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bCs/>
                <w:color w:val="000000"/>
                <w:sz w:val="22"/>
                <w:szCs w:val="22"/>
              </w:rPr>
              <w:t xml:space="preserve">Economic</w:t>
            </w:r>
          </w:p>
        </w:tc>
        <w:tc>
          <w:tcPr>
            <w:tcW w:type="dxa" w:w="39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val="false"/>
                <w:bCs w:val="false"/>
                <w:color w:val="000000"/>
                <w:sz w:val="22"/>
                <w:szCs w:val="22"/>
              </w:rPr>
              <w:t xml:space="preserve">Money flows — costs, revenues, employment, vendor livelihoods, regional development.</w:t>
            </w:r>
          </w:p>
        </w:tc>
      </w:tr>
      <w:tr>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onsolas" w:cs="Consolas" w:eastAsia="Consolas" w:hAnsi="Consolas"/>
                <w:b w:val="false"/>
                <w:bCs w:val="false"/>
                <w:color w:val="2E4057"/>
                <w:sz w:val="20"/>
                <w:szCs w:val="20"/>
              </w:rPr>
              <w:t xml:space="preserve">outcome.spiritual_religious</w:t>
            </w:r>
          </w:p>
        </w:tc>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bCs/>
                <w:color w:val="000000"/>
                <w:sz w:val="22"/>
                <w:szCs w:val="22"/>
              </w:rPr>
              <w:t xml:space="preserve">Spiritual / Religious</w:t>
            </w:r>
          </w:p>
        </w:tc>
        <w:tc>
          <w:tcPr>
            <w:tcW w:type="dxa" w:w="39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val="false"/>
                <w:bCs w:val="false"/>
                <w:color w:val="000000"/>
                <w:sz w:val="22"/>
                <w:szCs w:val="22"/>
              </w:rPr>
              <w:t xml:space="preserve">Religious experience and ritual access — devotional outcomes for individual or aggregate pilgrims.</w:t>
            </w:r>
          </w:p>
        </w:tc>
      </w:tr>
      <w:tr>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onsolas" w:cs="Consolas" w:eastAsia="Consolas" w:hAnsi="Consolas"/>
                <w:b w:val="false"/>
                <w:bCs w:val="false"/>
                <w:color w:val="2E4057"/>
                <w:sz w:val="20"/>
                <w:szCs w:val="20"/>
              </w:rPr>
              <w:t xml:space="preserve">outcome.political_governance</w:t>
            </w:r>
          </w:p>
        </w:tc>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bCs/>
                <w:color w:val="000000"/>
                <w:sz w:val="22"/>
                <w:szCs w:val="22"/>
              </w:rPr>
              <w:t xml:space="preserve">Political / Governance</w:t>
            </w:r>
          </w:p>
        </w:tc>
        <w:tc>
          <w:tcPr>
            <w:tcW w:type="dxa" w:w="39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val="false"/>
                <w:bCs w:val="false"/>
                <w:color w:val="000000"/>
                <w:sz w:val="22"/>
                <w:szCs w:val="22"/>
              </w:rPr>
              <w:t xml:space="preserve">Power dynamics and administrative effectiveness — accountability, electoral implications, inter-agency function.</w:t>
            </w:r>
          </w:p>
        </w:tc>
      </w:tr>
      <w:tr>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onsolas" w:cs="Consolas" w:eastAsia="Consolas" w:hAnsi="Consolas"/>
                <w:b w:val="false"/>
                <w:bCs w:val="false"/>
                <w:color w:val="2E4057"/>
                <w:sz w:val="20"/>
                <w:szCs w:val="20"/>
              </w:rPr>
              <w:t xml:space="preserve">outcome.cultural_memory</w:t>
            </w:r>
          </w:p>
        </w:tc>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bCs/>
                <w:color w:val="000000"/>
                <w:sz w:val="22"/>
                <w:szCs w:val="22"/>
              </w:rPr>
              <w:t xml:space="preserve">Cultural Memory</w:t>
            </w:r>
          </w:p>
        </w:tc>
        <w:tc>
          <w:tcPr>
            <w:tcW w:type="dxa" w:w="39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val="false"/>
                <w:bCs w:val="false"/>
                <w:color w:val="000000"/>
                <w:sz w:val="22"/>
                <w:szCs w:val="22"/>
              </w:rPr>
              <w:t xml:space="preserve">Heritage preservation, oral tradition, historical record — long-term cultural transmission.</w:t>
            </w:r>
          </w:p>
        </w:tc>
      </w:tr>
      <w:tr>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onsolas" w:cs="Consolas" w:eastAsia="Consolas" w:hAnsi="Consolas"/>
                <w:b w:val="false"/>
                <w:bCs w:val="false"/>
                <w:color w:val="2E4057"/>
                <w:sz w:val="20"/>
                <w:szCs w:val="20"/>
              </w:rPr>
              <w:t xml:space="preserve">outcome.infrastructure_legacy</w:t>
            </w:r>
          </w:p>
        </w:tc>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bCs/>
                <w:color w:val="000000"/>
                <w:sz w:val="22"/>
                <w:szCs w:val="22"/>
              </w:rPr>
              <w:t xml:space="preserve">Infrastructure Legacy</w:t>
            </w:r>
          </w:p>
        </w:tc>
        <w:tc>
          <w:tcPr>
            <w:tcW w:type="dxa" w:w="39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val="false"/>
                <w:bCs w:val="false"/>
                <w:color w:val="000000"/>
                <w:sz w:val="22"/>
                <w:szCs w:val="22"/>
              </w:rPr>
              <w:t xml:space="preserve">What physical infrastructure persists after the event — the durable hardware left behind.</w:t>
            </w:r>
          </w:p>
        </w:tc>
      </w:tr>
      <w:tr>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onsolas" w:cs="Consolas" w:eastAsia="Consolas" w:hAnsi="Consolas"/>
                <w:b w:val="false"/>
                <w:bCs w:val="false"/>
                <w:color w:val="2E4057"/>
                <w:sz w:val="20"/>
                <w:szCs w:val="20"/>
              </w:rPr>
              <w:t xml:space="preserve">outcome.tech_deployment</w:t>
            </w:r>
          </w:p>
        </w:tc>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bCs/>
                <w:color w:val="000000"/>
                <w:sz w:val="22"/>
                <w:szCs w:val="22"/>
              </w:rPr>
              <w:t xml:space="preserve">Technology Deployment</w:t>
            </w:r>
          </w:p>
        </w:tc>
        <w:tc>
          <w:tcPr>
            <w:tcW w:type="dxa" w:w="39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val="false"/>
                <w:bCs w:val="false"/>
                <w:color w:val="000000"/>
                <w:sz w:val="22"/>
                <w:szCs w:val="22"/>
              </w:rPr>
              <w:t xml:space="preserve">Technology tested, adopted, or abandoned at Kumbh — the state of the technical art.</w:t>
            </w:r>
          </w:p>
        </w:tc>
      </w:tr>
      <w:tr>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onsolas" w:cs="Consolas" w:eastAsia="Consolas" w:hAnsi="Consolas"/>
                <w:b w:val="false"/>
                <w:bCs w:val="false"/>
                <w:color w:val="2E4057"/>
                <w:sz w:val="20"/>
                <w:szCs w:val="20"/>
              </w:rPr>
              <w:t xml:space="preserve">outcome.social_relations</w:t>
            </w:r>
          </w:p>
        </w:tc>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bCs/>
                <w:color w:val="000000"/>
                <w:sz w:val="22"/>
                <w:szCs w:val="22"/>
              </w:rPr>
              <w:t xml:space="preserve">Social Relations</w:t>
            </w:r>
          </w:p>
        </w:tc>
        <w:tc>
          <w:tcPr>
            <w:tcW w:type="dxa" w:w="39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val="false"/>
                <w:bCs w:val="false"/>
                <w:color w:val="000000"/>
                <w:sz w:val="22"/>
                <w:szCs w:val="22"/>
              </w:rPr>
              <w:t xml:space="preserve">Inter-community, inter-caste, and inter-religious dynamics — social cohesion or fracture.</w:t>
            </w:r>
          </w:p>
        </w:tc>
      </w:tr>
    </w:tbl>
    <w:p>
      <w:pPr>
        <w:spacing w:after="80" w:before="80"/>
      </w:pPr>
      <w:r>
        <w:t xml:space="preserve"/>
      </w:r>
    </w:p>
    <w:p>
      <w:pPr>
        <w:pStyle w:val="Heading3"/>
        <w:spacing w:after="110" w:before="220"/>
      </w:pPr>
      <w:r>
        <w:rPr>
          <w:rFonts w:ascii="Calibri" w:cs="Calibri" w:eastAsia="Calibri" w:hAnsi="Calibri"/>
          <w:b/>
          <w:bCs/>
          <w:color w:val="C8553D"/>
          <w:sz w:val="26"/>
          <w:szCs w:val="26"/>
        </w:rPr>
        <w:t xml:space="preserve">How outcomes differ from themes — three side-by-side examples</w:t>
      </w:r>
    </w:p>
    <w:p>
      <w:pPr>
        <w:spacing w:after="60" w:before="60" w:line="320"/>
      </w:pPr>
      <w:r>
        <w:rPr>
          <w:rFonts w:ascii="Calibri" w:cs="Calibri" w:eastAsia="Calibri" w:hAnsi="Calibri"/>
          <w:b/>
          <w:bCs/>
          <w:sz w:val="22"/>
          <w:szCs w:val="22"/>
        </w:rPr>
        <w:t xml:space="preserve">Example A. </w:t>
      </w:r>
      <w:r>
        <w:rPr>
          <w:rFonts w:ascii="Calibri" w:cs="Calibri" w:eastAsia="Calibri" w:hAnsi="Calibri"/>
          <w:i/>
          <w:iCs/>
          <w:sz w:val="22"/>
          <w:szCs w:val="22"/>
        </w:rPr>
        <w:t xml:space="preserve">Article about a new sewage treatment plant inaugurated for Kumbh.</w:t>
      </w:r>
    </w:p>
    <w:p>
      <w:pPr>
        <w:pStyle w:val="ListParagraph"/>
        <w:numPr>
          <w:ilvl w:val="0"/>
          <w:numId w:val="2"/>
        </w:numPr>
        <w:spacing w:after="40" w:before="40" w:line="300"/>
      </w:pPr>
      <w:r>
        <w:rPr>
          <w:rFonts w:ascii="Calibri" w:cs="Calibri" w:eastAsia="Calibri" w:hAnsi="Calibri"/>
          <w:b/>
          <w:bCs/>
          <w:sz w:val="22"/>
          <w:szCs w:val="22"/>
        </w:rPr>
        <w:t xml:space="preserve">Themes — </w:t>
      </w:r>
      <w:r>
        <w:rPr>
          <w:rFonts w:ascii="Consolas" w:cs="Consolas" w:eastAsia="Consolas" w:hAnsi="Consolas"/>
          <w:b w:val="false"/>
          <w:bCs w:val="false"/>
          <w:color w:val="2E4057"/>
          <w:sz w:val="20"/>
          <w:szCs w:val="20"/>
        </w:rPr>
        <w:t xml:space="preserve">theme.sanitation_infra</w:t>
      </w:r>
      <w:r>
        <w:rPr>
          <w:rFonts w:ascii="Calibri" w:cs="Calibri" w:eastAsia="Calibri" w:hAnsi="Calibri"/>
          <w:sz w:val="22"/>
          <w:szCs w:val="22"/>
        </w:rPr>
        <w:t xml:space="preserve">, </w:t>
      </w:r>
      <w:r>
        <w:rPr>
          <w:rFonts w:ascii="Consolas" w:cs="Consolas" w:eastAsia="Consolas" w:hAnsi="Consolas"/>
          <w:b w:val="false"/>
          <w:bCs w:val="false"/>
          <w:color w:val="2E4057"/>
          <w:sz w:val="20"/>
          <w:szCs w:val="20"/>
        </w:rPr>
        <w:t xml:space="preserve">theme.river_health</w:t>
      </w:r>
    </w:p>
    <w:p>
      <w:pPr>
        <w:pStyle w:val="ListParagraph"/>
        <w:numPr>
          <w:ilvl w:val="0"/>
          <w:numId w:val="2"/>
        </w:numPr>
        <w:spacing w:after="40" w:before="40" w:line="300"/>
      </w:pPr>
      <w:r>
        <w:rPr>
          <w:rFonts w:ascii="Calibri" w:cs="Calibri" w:eastAsia="Calibri" w:hAnsi="Calibri"/>
          <w:b/>
          <w:bCs/>
          <w:sz w:val="22"/>
          <w:szCs w:val="22"/>
        </w:rPr>
        <w:t xml:space="preserve">Outcomes — </w:t>
      </w:r>
      <w:r>
        <w:rPr>
          <w:rFonts w:ascii="Consolas" w:cs="Consolas" w:eastAsia="Consolas" w:hAnsi="Consolas"/>
          <w:b w:val="false"/>
          <w:bCs w:val="false"/>
          <w:color w:val="2E4057"/>
          <w:sz w:val="20"/>
          <w:szCs w:val="20"/>
        </w:rPr>
        <w:t xml:space="preserve">outcome.environment</w:t>
      </w:r>
      <w:r>
        <w:rPr>
          <w:rFonts w:ascii="Calibri" w:cs="Calibri" w:eastAsia="Calibri" w:hAnsi="Calibri"/>
          <w:sz w:val="22"/>
          <w:szCs w:val="22"/>
        </w:rPr>
        <w:t xml:space="preserve">, </w:t>
      </w:r>
      <w:r>
        <w:rPr>
          <w:rFonts w:ascii="Consolas" w:cs="Consolas" w:eastAsia="Consolas" w:hAnsi="Consolas"/>
          <w:b w:val="false"/>
          <w:bCs w:val="false"/>
          <w:color w:val="2E4057"/>
          <w:sz w:val="20"/>
          <w:szCs w:val="20"/>
        </w:rPr>
        <w:t xml:space="preserve">outcome.public_health</w:t>
      </w:r>
      <w:r>
        <w:rPr>
          <w:rFonts w:ascii="Calibri" w:cs="Calibri" w:eastAsia="Calibri" w:hAnsi="Calibri"/>
          <w:sz w:val="22"/>
          <w:szCs w:val="22"/>
        </w:rPr>
        <w:t xml:space="preserve">, </w:t>
      </w:r>
      <w:r>
        <w:rPr>
          <w:rFonts w:ascii="Consolas" w:cs="Consolas" w:eastAsia="Consolas" w:hAnsi="Consolas"/>
          <w:b w:val="false"/>
          <w:bCs w:val="false"/>
          <w:color w:val="2E4057"/>
          <w:sz w:val="20"/>
          <w:szCs w:val="20"/>
        </w:rPr>
        <w:t xml:space="preserve">outcome.infrastructure_legacy</w:t>
      </w:r>
    </w:p>
    <w:p>
      <w:pPr>
        <w:spacing w:after="60" w:before="60" w:line="320"/>
      </w:pPr>
      <w:r>
        <w:rPr>
          <w:rFonts w:ascii="Calibri" w:cs="Calibri" w:eastAsia="Calibri" w:hAnsi="Calibri"/>
          <w:sz w:val="22"/>
          <w:szCs w:val="22"/>
        </w:rPr>
        <w:t xml:space="preserve">Themes describe what the article is about (sanitation infrastructure, river health). Outcomes describe what the project affects — the environment (less pollution), public health (fewer disease vectors), and infrastructure legacy (the plant will exist for decades).</w:t>
      </w:r>
    </w:p>
    <w:p>
      <w:pPr>
        <w:spacing w:after="60" w:before="60" w:line="320"/>
      </w:pPr>
      <w:r>
        <w:rPr>
          <w:rFonts w:ascii="Calibri" w:cs="Calibri" w:eastAsia="Calibri" w:hAnsi="Calibri"/>
          <w:b/>
          <w:bCs/>
          <w:sz w:val="22"/>
          <w:szCs w:val="22"/>
        </w:rPr>
        <w:t xml:space="preserve">Example B. </w:t>
      </w:r>
      <w:r>
        <w:rPr>
          <w:rFonts w:ascii="Calibri" w:cs="Calibri" w:eastAsia="Calibri" w:hAnsi="Calibri"/>
          <w:i/>
          <w:iCs/>
          <w:sz w:val="22"/>
          <w:szCs w:val="22"/>
        </w:rPr>
        <w:t xml:space="preserve">Article about a stampede at Ramkund.</w:t>
      </w:r>
    </w:p>
    <w:p>
      <w:pPr>
        <w:pStyle w:val="ListParagraph"/>
        <w:numPr>
          <w:ilvl w:val="0"/>
          <w:numId w:val="2"/>
        </w:numPr>
        <w:spacing w:after="40" w:before="40" w:line="300"/>
      </w:pPr>
      <w:r>
        <w:rPr>
          <w:rFonts w:ascii="Calibri" w:cs="Calibri" w:eastAsia="Calibri" w:hAnsi="Calibri"/>
          <w:b/>
          <w:bCs/>
          <w:sz w:val="22"/>
          <w:szCs w:val="22"/>
        </w:rPr>
        <w:t xml:space="preserve">Themes — </w:t>
      </w:r>
      <w:r>
        <w:rPr>
          <w:rFonts w:ascii="Consolas" w:cs="Consolas" w:eastAsia="Consolas" w:hAnsi="Consolas"/>
          <w:b w:val="false"/>
          <w:bCs w:val="false"/>
          <w:color w:val="2E4057"/>
          <w:sz w:val="20"/>
          <w:szCs w:val="20"/>
        </w:rPr>
        <w:t xml:space="preserve">theme.incident_response</w:t>
      </w:r>
      <w:r>
        <w:rPr>
          <w:rFonts w:ascii="Calibri" w:cs="Calibri" w:eastAsia="Calibri" w:hAnsi="Calibri"/>
          <w:sz w:val="22"/>
          <w:szCs w:val="22"/>
        </w:rPr>
        <w:t xml:space="preserve">, </w:t>
      </w:r>
      <w:r>
        <w:rPr>
          <w:rFonts w:ascii="Consolas" w:cs="Consolas" w:eastAsia="Consolas" w:hAnsi="Consolas"/>
          <w:b w:val="false"/>
          <w:bCs w:val="false"/>
          <w:color w:val="2E4057"/>
          <w:sz w:val="20"/>
          <w:szCs w:val="20"/>
        </w:rPr>
        <w:t xml:space="preserve">theme.crowd_management</w:t>
      </w:r>
    </w:p>
    <w:p>
      <w:pPr>
        <w:pStyle w:val="ListParagraph"/>
        <w:numPr>
          <w:ilvl w:val="0"/>
          <w:numId w:val="2"/>
        </w:numPr>
        <w:spacing w:after="40" w:before="40" w:line="300"/>
      </w:pPr>
      <w:r>
        <w:rPr>
          <w:rFonts w:ascii="Calibri" w:cs="Calibri" w:eastAsia="Calibri" w:hAnsi="Calibri"/>
          <w:b/>
          <w:bCs/>
          <w:sz w:val="22"/>
          <w:szCs w:val="22"/>
        </w:rPr>
        <w:t xml:space="preserve">Outcomes — </w:t>
      </w:r>
      <w:r>
        <w:rPr>
          <w:rFonts w:ascii="Consolas" w:cs="Consolas" w:eastAsia="Consolas" w:hAnsi="Consolas"/>
          <w:b w:val="false"/>
          <w:bCs w:val="false"/>
          <w:color w:val="2E4057"/>
          <w:sz w:val="20"/>
          <w:szCs w:val="20"/>
        </w:rPr>
        <w:t xml:space="preserve">outcome.public_safety</w:t>
      </w:r>
      <w:r>
        <w:rPr>
          <w:rFonts w:ascii="Calibri" w:cs="Calibri" w:eastAsia="Calibri" w:hAnsi="Calibri"/>
          <w:sz w:val="22"/>
          <w:szCs w:val="22"/>
        </w:rPr>
        <w:t xml:space="preserve">, </w:t>
      </w:r>
      <w:r>
        <w:rPr>
          <w:rFonts w:ascii="Consolas" w:cs="Consolas" w:eastAsia="Consolas" w:hAnsi="Consolas"/>
          <w:b w:val="false"/>
          <w:bCs w:val="false"/>
          <w:color w:val="2E4057"/>
          <w:sz w:val="20"/>
          <w:szCs w:val="20"/>
        </w:rPr>
        <w:t xml:space="preserve">outcome.public_health</w:t>
      </w:r>
      <w:r>
        <w:rPr>
          <w:rFonts w:ascii="Calibri" w:cs="Calibri" w:eastAsia="Calibri" w:hAnsi="Calibri"/>
          <w:sz w:val="22"/>
          <w:szCs w:val="22"/>
        </w:rPr>
        <w:t xml:space="preserve">, </w:t>
      </w:r>
      <w:r>
        <w:rPr>
          <w:rFonts w:ascii="Consolas" w:cs="Consolas" w:eastAsia="Consolas" w:hAnsi="Consolas"/>
          <w:b w:val="false"/>
          <w:bCs w:val="false"/>
          <w:color w:val="2E4057"/>
          <w:sz w:val="20"/>
          <w:szCs w:val="20"/>
        </w:rPr>
        <w:t xml:space="preserve">outcome.political_governance</w:t>
      </w:r>
    </w:p>
    <w:p>
      <w:pPr>
        <w:spacing w:after="60" w:before="60" w:line="320"/>
      </w:pPr>
      <w:r>
        <w:rPr>
          <w:rFonts w:ascii="Calibri" w:cs="Calibri" w:eastAsia="Calibri" w:hAnsi="Calibri"/>
          <w:sz w:val="22"/>
          <w:szCs w:val="22"/>
        </w:rPr>
        <w:t xml:space="preserve">A stampede affects safety (obviously), health (injuries), and governance (accountability fallout).</w:t>
      </w:r>
    </w:p>
    <w:p>
      <w:pPr>
        <w:spacing w:after="60" w:before="60" w:line="320"/>
      </w:pPr>
      <w:r>
        <w:rPr>
          <w:rFonts w:ascii="Calibri" w:cs="Calibri" w:eastAsia="Calibri" w:hAnsi="Calibri"/>
          <w:b/>
          <w:bCs/>
          <w:sz w:val="22"/>
          <w:szCs w:val="22"/>
        </w:rPr>
        <w:t xml:space="preserve">Example C. </w:t>
      </w:r>
      <w:r>
        <w:rPr>
          <w:rFonts w:ascii="Calibri" w:cs="Calibri" w:eastAsia="Calibri" w:hAnsi="Calibri"/>
          <w:i/>
          <w:iCs/>
          <w:sz w:val="22"/>
          <w:szCs w:val="22"/>
        </w:rPr>
        <w:t xml:space="preserve">Article about the Kumbh's UNESCO Intangible Heritage designation.</w:t>
      </w:r>
    </w:p>
    <w:p>
      <w:pPr>
        <w:pStyle w:val="ListParagraph"/>
        <w:numPr>
          <w:ilvl w:val="0"/>
          <w:numId w:val="2"/>
        </w:numPr>
        <w:spacing w:after="40" w:before="40" w:line="300"/>
      </w:pPr>
      <w:r>
        <w:rPr>
          <w:rFonts w:ascii="Calibri" w:cs="Calibri" w:eastAsia="Calibri" w:hAnsi="Calibri"/>
          <w:b/>
          <w:bCs/>
          <w:sz w:val="22"/>
          <w:szCs w:val="22"/>
        </w:rPr>
        <w:t xml:space="preserve">Theme — </w:t>
      </w:r>
      <w:r>
        <w:rPr>
          <w:rFonts w:ascii="Consolas" w:cs="Consolas" w:eastAsia="Consolas" w:hAnsi="Consolas"/>
          <w:b w:val="false"/>
          <w:bCs w:val="false"/>
          <w:color w:val="2E4057"/>
          <w:sz w:val="20"/>
          <w:szCs w:val="20"/>
        </w:rPr>
        <w:t xml:space="preserve">theme.heritage_culture</w:t>
      </w:r>
    </w:p>
    <w:p>
      <w:pPr>
        <w:pStyle w:val="ListParagraph"/>
        <w:numPr>
          <w:ilvl w:val="0"/>
          <w:numId w:val="2"/>
        </w:numPr>
        <w:spacing w:after="40" w:before="40" w:line="300"/>
      </w:pPr>
      <w:r>
        <w:rPr>
          <w:rFonts w:ascii="Calibri" w:cs="Calibri" w:eastAsia="Calibri" w:hAnsi="Calibri"/>
          <w:b/>
          <w:bCs/>
          <w:sz w:val="22"/>
          <w:szCs w:val="22"/>
        </w:rPr>
        <w:t xml:space="preserve">Outcomes — </w:t>
      </w:r>
      <w:r>
        <w:rPr>
          <w:rFonts w:ascii="Consolas" w:cs="Consolas" w:eastAsia="Consolas" w:hAnsi="Consolas"/>
          <w:b w:val="false"/>
          <w:bCs w:val="false"/>
          <w:color w:val="2E4057"/>
          <w:sz w:val="20"/>
          <w:szCs w:val="20"/>
        </w:rPr>
        <w:t xml:space="preserve">outcome.cultural_memory</w:t>
      </w:r>
      <w:r>
        <w:rPr>
          <w:rFonts w:ascii="Calibri" w:cs="Calibri" w:eastAsia="Calibri" w:hAnsi="Calibri"/>
          <w:sz w:val="22"/>
          <w:szCs w:val="22"/>
        </w:rPr>
        <w:t xml:space="preserve">, </w:t>
      </w:r>
      <w:r>
        <w:rPr>
          <w:rFonts w:ascii="Consolas" w:cs="Consolas" w:eastAsia="Consolas" w:hAnsi="Consolas"/>
          <w:b w:val="false"/>
          <w:bCs w:val="false"/>
          <w:color w:val="2E4057"/>
          <w:sz w:val="20"/>
          <w:szCs w:val="20"/>
        </w:rPr>
        <w:t xml:space="preserve">outcome.political_governance</w:t>
      </w:r>
      <w:r>
        <w:rPr>
          <w:rFonts w:ascii="Calibri" w:cs="Calibri" w:eastAsia="Calibri" w:hAnsi="Calibri"/>
          <w:sz w:val="22"/>
          <w:szCs w:val="22"/>
        </w:rPr>
        <w:t xml:space="preserve">, </w:t>
      </w:r>
      <w:r>
        <w:rPr>
          <w:rFonts w:ascii="Consolas" w:cs="Consolas" w:eastAsia="Consolas" w:hAnsi="Consolas"/>
          <w:b w:val="false"/>
          <w:bCs w:val="false"/>
          <w:color w:val="2E4057"/>
          <w:sz w:val="20"/>
          <w:szCs w:val="20"/>
        </w:rPr>
        <w:t xml:space="preserve">outcome.economic</w:t>
      </w:r>
    </w:p>
    <w:p>
      <w:pPr>
        <w:spacing w:after="60" w:before="60" w:line="320"/>
      </w:pPr>
      <w:r>
        <w:rPr>
          <w:rFonts w:ascii="Calibri" w:cs="Calibri" w:eastAsia="Calibri" w:hAnsi="Calibri"/>
          <w:sz w:val="22"/>
          <w:szCs w:val="22"/>
        </w:rPr>
        <w:t xml:space="preserve">UNESCO status changes preservation posture (cultural memory), diplomatic and policy posture (governance), and tourism revenue (economic). The theme stays narrow; the outcomes span the impact.</w:t>
      </w:r>
    </w:p>
    <w:p>
      <w:pPr>
        <w:pStyle w:val="Heading3"/>
        <w:spacing w:after="110" w:before="220"/>
      </w:pPr>
      <w:r>
        <w:rPr>
          <w:rFonts w:ascii="Calibri" w:cs="Calibri" w:eastAsia="Calibri" w:hAnsi="Calibri"/>
          <w:b/>
          <w:bCs/>
          <w:color w:val="C8553D"/>
          <w:sz w:val="26"/>
          <w:szCs w:val="26"/>
        </w:rPr>
        <w:t xml:space="preserve">Why some outcomes are rare — and why that is fine</w:t>
      </w:r>
    </w:p>
    <w:p>
      <w:pPr>
        <w:spacing w:after="60" w:before="60" w:line="320"/>
      </w:pPr>
      <w:r>
        <w:rPr>
          <w:rFonts w:ascii="Calibri" w:cs="Calibri" w:eastAsia="Calibri" w:hAnsi="Calibri"/>
          <w:sz w:val="22"/>
          <w:szCs w:val="22"/>
        </w:rPr>
        <w:t xml:space="preserve">Outcome tags like social_relations and cultural_memory will be applied to a minority of items. Most news content does not address inter-community dynamics or long-term cultural transmission. But when content does address those dimensions, it is research gold — and tagging it explicitly means scholars studying those subjects can find it instantly instead of buried under thousands of unrelated articles. Rarity does not equal unimportance; in fact, the rare tags often carry the highest per-item research value.</w:t>
      </w:r>
    </w:p>
    <w:p>
      <w:r>
        <w:br w:type="page"/>
      </w:r>
    </w:p>
    <w:p>
      <w:pPr>
        <w:pStyle w:val="Heading1"/>
        <w:spacing w:after="180" w:before="360"/>
      </w:pPr>
      <w:r>
        <w:rPr>
          <w:rFonts w:ascii="Calibri" w:cs="Calibri" w:eastAsia="Calibri" w:hAnsi="Calibri"/>
          <w:b/>
          <w:bCs/>
          <w:color w:val="2E4057"/>
          <w:sz w:val="36"/>
          <w:szCs w:val="36"/>
        </w:rPr>
        <w:t xml:space="preserve">10. A worked example across all 7 axes</w:t>
      </w:r>
    </w:p>
    <w:p>
      <w:pPr>
        <w:spacing w:after="60" w:before="60" w:line="320"/>
      </w:pPr>
      <w:r>
        <w:rPr>
          <w:rFonts w:ascii="Calibri" w:cs="Calibri" w:eastAsia="Calibri" w:hAnsi="Calibri"/>
          <w:sz w:val="22"/>
          <w:szCs w:val="22"/>
        </w:rPr>
        <w:t xml:space="preserve">To make the full classification concrete, here is one realistic article tagged across all seven axes simultaneously.</w:t>
      </w:r>
    </w:p>
    <w:p>
      <w:pPr>
        <w:pBdr>
          <w:left w:val="single" w:color="C8553D" w:sz="18" w:space="8"/>
        </w:pBdr>
        <w:spacing w:after="140" w:before="140" w:line="320"/>
        <w:ind w:left="360"/>
      </w:pPr>
      <w:r>
        <w:rPr>
          <w:rFonts w:ascii="Calibri" w:cs="Calibri" w:eastAsia="Calibri" w:hAnsi="Calibri"/>
          <w:i/>
          <w:iCs/>
          <w:color w:val="2E4057"/>
          <w:sz w:val="22"/>
          <w:szCs w:val="22"/>
        </w:rPr>
        <w:t xml:space="preserve">Article: "Nashik Civil Hospital adds 200 beds, 6 trauma units for Simhastha 2027; Centre allocates ₹120 crore." Source: hypothetical PTI report dated June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4"/>
              <w:left w:val="single" w:color="D1D5DB" w:sz="4"/>
              <w:bottom w:val="single" w:color="D1D5DB" w:sz="4"/>
              <w:right w:val="single" w:color="D1D5DB" w:sz="4"/>
            </w:tcBorders>
            <w:shd w:fill="2E4057" w:val="clear"/>
            <w:tcMar>
              <w:top w:type="dxa" w:w="120"/>
              <w:left w:type="dxa" w:w="140"/>
              <w:bottom w:type="dxa" w:w="120"/>
              <w:right w:type="dxa" w:w="140"/>
            </w:tcMar>
            <w:vAlign w:val="center"/>
          </w:tcPr>
          <w:p>
            <w:pPr>
              <w:spacing w:after="0" w:before="0"/>
            </w:pPr>
            <w:r>
              <w:rPr>
                <w:rFonts w:ascii="Calibri" w:cs="Calibri" w:eastAsia="Calibri" w:hAnsi="Calibri"/>
                <w:b/>
                <w:bCs/>
                <w:color w:val="FFFFFF"/>
                <w:sz w:val="22"/>
                <w:szCs w:val="22"/>
              </w:rPr>
              <w:t xml:space="preserve">Axis</w:t>
            </w:r>
          </w:p>
        </w:tc>
        <w:tc>
          <w:tcPr>
            <w:tcW w:type="dxa" w:w="6960"/>
            <w:tcBorders>
              <w:top w:val="single" w:color="D1D5DB" w:sz="4"/>
              <w:left w:val="single" w:color="D1D5DB" w:sz="4"/>
              <w:bottom w:val="single" w:color="D1D5DB" w:sz="4"/>
              <w:right w:val="single" w:color="D1D5DB" w:sz="4"/>
            </w:tcBorders>
            <w:shd w:fill="2E4057" w:val="clear"/>
            <w:tcMar>
              <w:top w:type="dxa" w:w="120"/>
              <w:left w:type="dxa" w:w="140"/>
              <w:bottom w:type="dxa" w:w="120"/>
              <w:right w:type="dxa" w:w="140"/>
            </w:tcMar>
            <w:vAlign w:val="center"/>
          </w:tcPr>
          <w:p>
            <w:pPr>
              <w:spacing w:after="0" w:before="0"/>
            </w:pPr>
            <w:r>
              <w:rPr>
                <w:rFonts w:ascii="Calibri" w:cs="Calibri" w:eastAsia="Calibri" w:hAnsi="Calibri"/>
                <w:b/>
                <w:bCs/>
                <w:color w:val="FFFFFF"/>
                <w:sz w:val="22"/>
                <w:szCs w:val="22"/>
              </w:rPr>
              <w:t xml:space="preserve">Tags applied</w:t>
            </w:r>
          </w:p>
        </w:tc>
      </w:tr>
      <w:tr>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bCs/>
                <w:color w:val="000000"/>
                <w:sz w:val="22"/>
                <w:szCs w:val="22"/>
              </w:rPr>
              <w:t xml:space="preserve">Theme</w:t>
            </w:r>
          </w:p>
        </w:tc>
        <w:tc>
          <w:tcPr>
            <w:tcW w:type="dxa" w:w="69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onsolas" w:cs="Consolas" w:eastAsia="Consolas" w:hAnsi="Consolas"/>
                <w:b w:val="false"/>
                <w:bCs w:val="false"/>
                <w:color w:val="2E4057"/>
                <w:sz w:val="20"/>
                <w:szCs w:val="20"/>
              </w:rPr>
              <w:t xml:space="preserve">theme.medical_response, theme.budget_spending</w:t>
            </w:r>
          </w:p>
        </w:tc>
      </w:tr>
      <w:tr>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bCs/>
                <w:color w:val="000000"/>
                <w:sz w:val="22"/>
                <w:szCs w:val="22"/>
              </w:rPr>
              <w:t xml:space="preserve">Event Type</w:t>
            </w:r>
          </w:p>
        </w:tc>
        <w:tc>
          <w:tcPr>
            <w:tcW w:type="dxa" w:w="69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onsolas" w:cs="Consolas" w:eastAsia="Consolas" w:hAnsi="Consolas"/>
                <w:b w:val="false"/>
                <w:bCs w:val="false"/>
                <w:color w:val="2E4057"/>
                <w:sz w:val="20"/>
                <w:szCs w:val="20"/>
              </w:rPr>
              <w:t xml:space="preserve">event_type.announcement</w:t>
            </w:r>
          </w:p>
        </w:tc>
      </w:tr>
      <w:tr>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bCs/>
                <w:color w:val="000000"/>
                <w:sz w:val="22"/>
                <w:szCs w:val="22"/>
              </w:rPr>
              <w:t xml:space="preserve">Stakeholder</w:t>
            </w:r>
          </w:p>
        </w:tc>
        <w:tc>
          <w:tcPr>
            <w:tcW w:type="dxa" w:w="69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onsolas" w:cs="Consolas" w:eastAsia="Consolas" w:hAnsi="Consolas"/>
                <w:b w:val="false"/>
                <w:bCs w:val="false"/>
                <w:color w:val="2E4057"/>
                <w:sz w:val="20"/>
                <w:szCs w:val="20"/>
              </w:rPr>
              <w:t xml:space="preserve">stakeholder.gov_centre, stakeholder.gov_state</w:t>
            </w:r>
          </w:p>
        </w:tc>
      </w:tr>
      <w:tr>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bCs/>
                <w:color w:val="000000"/>
                <w:sz w:val="22"/>
                <w:szCs w:val="22"/>
              </w:rPr>
              <w:t xml:space="preserve">Geography</w:t>
            </w:r>
          </w:p>
        </w:tc>
        <w:tc>
          <w:tcPr>
            <w:tcW w:type="dxa" w:w="69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onsolas" w:cs="Consolas" w:eastAsia="Consolas" w:hAnsi="Consolas"/>
                <w:b w:val="false"/>
                <w:bCs w:val="false"/>
                <w:color w:val="2E4057"/>
                <w:sz w:val="20"/>
                <w:szCs w:val="20"/>
              </w:rPr>
              <w:t xml:space="preserve">edition.nashik_2027, place.nashik.general</w:t>
            </w:r>
          </w:p>
        </w:tc>
      </w:tr>
      <w:tr>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bCs/>
                <w:color w:val="000000"/>
                <w:sz w:val="22"/>
                <w:szCs w:val="22"/>
              </w:rPr>
              <w:t xml:space="preserve">Temporal Phase</w:t>
            </w:r>
          </w:p>
        </w:tc>
        <w:tc>
          <w:tcPr>
            <w:tcW w:type="dxa" w:w="69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onsolas" w:cs="Consolas" w:eastAsia="Consolas" w:hAnsi="Consolas"/>
                <w:b w:val="false"/>
                <w:bCs w:val="false"/>
                <w:color w:val="2E4057"/>
                <w:sz w:val="20"/>
                <w:szCs w:val="20"/>
              </w:rPr>
              <w:t xml:space="preserve">phase.buildup</w:t>
            </w:r>
          </w:p>
        </w:tc>
      </w:tr>
      <w:tr>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bCs/>
                <w:color w:val="000000"/>
                <w:sz w:val="22"/>
                <w:szCs w:val="22"/>
              </w:rPr>
              <w:t xml:space="preserve">Information Quality</w:t>
            </w:r>
          </w:p>
        </w:tc>
        <w:tc>
          <w:tcPr>
            <w:tcW w:type="dxa" w:w="69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onsolas" w:cs="Consolas" w:eastAsia="Consolas" w:hAnsi="Consolas"/>
                <w:b w:val="false"/>
                <w:bCs w:val="false"/>
                <w:color w:val="2E4057"/>
                <w:sz w:val="20"/>
                <w:szCs w:val="20"/>
              </w:rPr>
              <w:t xml:space="preserve">source_tier=1, claim_type=factual, evidence_type=official_data, corroboration_24h=7, contested=false, correction_status=current, risk_band=low, human_reviewed=unreviewed</w:t>
            </w:r>
          </w:p>
        </w:tc>
      </w:tr>
      <w:tr>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bCs/>
                <w:color w:val="000000"/>
                <w:sz w:val="22"/>
                <w:szCs w:val="22"/>
              </w:rPr>
              <w:t xml:space="preserve">Outcome</w:t>
            </w:r>
          </w:p>
        </w:tc>
        <w:tc>
          <w:tcPr>
            <w:tcW w:type="dxa" w:w="69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onsolas" w:cs="Consolas" w:eastAsia="Consolas" w:hAnsi="Consolas"/>
                <w:b w:val="false"/>
                <w:bCs w:val="false"/>
                <w:color w:val="2E4057"/>
                <w:sz w:val="20"/>
                <w:szCs w:val="20"/>
              </w:rPr>
              <w:t xml:space="preserve">outcome.public_health, outcome.public_safety, outcome.infrastructure_legacy, outcome.political_governance</w:t>
            </w:r>
          </w:p>
        </w:tc>
      </w:tr>
    </w:tbl>
    <w:p>
      <w:pPr>
        <w:spacing w:after="80" w:before="80"/>
      </w:pPr>
      <w:r>
        <w:t xml:space="preserve"/>
      </w:r>
    </w:p>
    <w:p>
      <w:pPr>
        <w:spacing w:after="60" w:before="60" w:line="320"/>
      </w:pPr>
      <w:r>
        <w:rPr>
          <w:rFonts w:ascii="Calibri" w:cs="Calibri" w:eastAsia="Calibri" w:hAnsi="Calibri"/>
          <w:sz w:val="22"/>
          <w:szCs w:val="22"/>
        </w:rPr>
        <w:t xml:space="preserve">This single article now answers dozens of research queries. Three illustrative examples:</w:t>
      </w:r>
    </w:p>
    <w:p>
      <w:pPr>
        <w:pStyle w:val="Heading3"/>
        <w:spacing w:after="110" w:before="220"/>
      </w:pPr>
      <w:r>
        <w:rPr>
          <w:rFonts w:ascii="Calibri" w:cs="Calibri" w:eastAsia="Calibri" w:hAnsi="Calibri"/>
          <w:b/>
          <w:bCs/>
          <w:color w:val="C8553D"/>
          <w:sz w:val="26"/>
          <w:szCs w:val="26"/>
        </w:rPr>
        <w:t xml:space="preserve">Query 1 — A health policy researcher</w:t>
      </w:r>
    </w:p>
    <w:p>
      <w:pPr>
        <w:pBdr>
          <w:left w:val="single" w:color="C8553D" w:sz="18" w:space="8"/>
        </w:pBdr>
        <w:spacing w:after="140" w:before="140" w:line="320"/>
        <w:ind w:left="360"/>
      </w:pPr>
      <w:r>
        <w:rPr>
          <w:rFonts w:ascii="Calibri" w:cs="Calibri" w:eastAsia="Calibri" w:hAnsi="Calibri"/>
          <w:i/>
          <w:iCs/>
          <w:color w:val="2E4057"/>
          <w:sz w:val="22"/>
          <w:szCs w:val="22"/>
        </w:rPr>
        <w:t xml:space="preserve">Show me all content tagged theme.medical_response in phase.buildup for edition.nashik_2027 where stakeholder.gov_centre is involved, sorted by published date.</w:t>
      </w:r>
    </w:p>
    <w:p>
      <w:pPr>
        <w:spacing w:after="60" w:before="60" w:line="320"/>
      </w:pPr>
      <w:r>
        <w:rPr>
          <w:rFonts w:ascii="Calibri" w:cs="Calibri" w:eastAsia="Calibri" w:hAnsi="Calibri"/>
          <w:sz w:val="22"/>
          <w:szCs w:val="22"/>
        </w:rPr>
        <w:t xml:space="preserve">This article matches the query. So does every similar article. The researcher just constructed "central government medical capacity announcements during the build-up to Nashik 2027" as a single query, and the system answers in milliseconds.</w:t>
      </w:r>
    </w:p>
    <w:p>
      <w:pPr>
        <w:pStyle w:val="Heading3"/>
        <w:spacing w:after="110" w:before="220"/>
      </w:pPr>
      <w:r>
        <w:rPr>
          <w:rFonts w:ascii="Calibri" w:cs="Calibri" w:eastAsia="Calibri" w:hAnsi="Calibri"/>
          <w:b/>
          <w:bCs/>
          <w:color w:val="C8553D"/>
          <w:sz w:val="26"/>
          <w:szCs w:val="26"/>
        </w:rPr>
        <w:t xml:space="preserve">Query 2 — A misinfo monitor</w:t>
      </w:r>
    </w:p>
    <w:p>
      <w:pPr>
        <w:pBdr>
          <w:left w:val="single" w:color="C8553D" w:sz="18" w:space="8"/>
        </w:pBdr>
        <w:spacing w:after="140" w:before="140" w:line="320"/>
        <w:ind w:left="360"/>
      </w:pPr>
      <w:r>
        <w:rPr>
          <w:rFonts w:ascii="Calibri" w:cs="Calibri" w:eastAsia="Calibri" w:hAnsi="Calibri"/>
          <w:i/>
          <w:iCs/>
          <w:color w:val="2E4057"/>
          <w:sz w:val="22"/>
          <w:szCs w:val="22"/>
        </w:rPr>
        <w:t xml:space="preserve">Show me all content with risk_band=critical from the last 24 hours where human_reviewed=unreviewed and theme includes theme.incident_response.</w:t>
      </w:r>
    </w:p>
    <w:p>
      <w:pPr>
        <w:spacing w:after="60" w:before="60" w:line="320"/>
      </w:pPr>
      <w:r>
        <w:rPr>
          <w:rFonts w:ascii="Calibri" w:cs="Calibri" w:eastAsia="Calibri" w:hAnsi="Calibri"/>
          <w:sz w:val="22"/>
          <w:szCs w:val="22"/>
        </w:rPr>
        <w:t xml:space="preserve">This article does not match (its risk_band is low). But a different rumored-stampede article with critical risk and incident_response theme would match. The two queries — health policy and misinfo radar — pull from the same archive without contradiction.</w:t>
      </w:r>
    </w:p>
    <w:p>
      <w:pPr>
        <w:pStyle w:val="Heading3"/>
        <w:spacing w:after="110" w:before="220"/>
      </w:pPr>
      <w:r>
        <w:rPr>
          <w:rFonts w:ascii="Calibri" w:cs="Calibri" w:eastAsia="Calibri" w:hAnsi="Calibri"/>
          <w:b/>
          <w:bCs/>
          <w:color w:val="C8553D"/>
          <w:sz w:val="26"/>
          <w:szCs w:val="26"/>
        </w:rPr>
        <w:t xml:space="preserve">Query 3 — A journalist tracking promises vs delivery</w:t>
      </w:r>
    </w:p>
    <w:p>
      <w:pPr>
        <w:pBdr>
          <w:left w:val="single" w:color="C8553D" w:sz="18" w:space="8"/>
        </w:pBdr>
        <w:spacing w:after="140" w:before="140" w:line="320"/>
        <w:ind w:left="360"/>
      </w:pPr>
      <w:r>
        <w:rPr>
          <w:rFonts w:ascii="Calibri" w:cs="Calibri" w:eastAsia="Calibri" w:hAnsi="Calibri"/>
          <w:i/>
          <w:iCs/>
          <w:color w:val="2E4057"/>
          <w:sz w:val="22"/>
          <w:szCs w:val="22"/>
        </w:rPr>
        <w:t xml:space="preserve">Show me event_type.announcement from phase.planning of edition.nashik_2027 tagged theme.roads_bridges. Then show me event_type.milestone with the same theme in phase.buildup and phase.aftermath. Display promises and outcomes side by side.</w:t>
      </w:r>
    </w:p>
    <w:p>
      <w:pPr>
        <w:spacing w:after="60" w:before="60" w:line="320"/>
      </w:pPr>
      <w:r>
        <w:rPr>
          <w:rFonts w:ascii="Calibri" w:cs="Calibri" w:eastAsia="Calibri" w:hAnsi="Calibri"/>
          <w:sz w:val="22"/>
          <w:szCs w:val="22"/>
        </w:rPr>
        <w:t xml:space="preserve">This is the promise-versus-delivery tracker — the most powerful longitudinal feature the archive offers. Built from a single combined query because the taxonomy is structured to enable exactly this kind of cross-phase comparison.</w:t>
      </w:r>
    </w:p>
    <w:p>
      <w:r>
        <w:br w:type="page"/>
      </w:r>
    </w:p>
    <w:p>
      <w:pPr>
        <w:pStyle w:val="Heading1"/>
        <w:spacing w:after="180" w:before="360"/>
      </w:pPr>
      <w:r>
        <w:rPr>
          <w:rFonts w:ascii="Calibri" w:cs="Calibri" w:eastAsia="Calibri" w:hAnsi="Calibri"/>
          <w:b/>
          <w:bCs/>
          <w:color w:val="2E4057"/>
          <w:sz w:val="36"/>
          <w:szCs w:val="36"/>
        </w:rPr>
        <w:t xml:space="preserve">11. How the taxonomy powers the dashboard</w:t>
      </w:r>
    </w:p>
    <w:p>
      <w:pPr>
        <w:spacing w:after="60" w:before="60" w:line="320"/>
      </w:pPr>
      <w:r>
        <w:rPr>
          <w:rFonts w:ascii="Calibri" w:cs="Calibri" w:eastAsia="Calibri" w:hAnsi="Calibri"/>
          <w:sz w:val="22"/>
          <w:szCs w:val="22"/>
        </w:rPr>
        <w:t xml:space="preserve">Every visible feature of the dashboard is a query against the taxonomy. The taxonomy is the schema. The dashboard is the interface. Understanding the mapping makes it clear why the seven-axis structure is worth the effort.</w:t>
      </w:r>
    </w:p>
    <w:p>
      <w:pPr>
        <w:pStyle w:val="Heading3"/>
        <w:spacing w:after="110" w:before="220"/>
      </w:pPr>
      <w:r>
        <w:rPr>
          <w:rFonts w:ascii="Calibri" w:cs="Calibri" w:eastAsia="Calibri" w:hAnsi="Calibri"/>
          <w:b/>
          <w:bCs/>
          <w:color w:val="C8553D"/>
          <w:sz w:val="26"/>
          <w:szCs w:val="26"/>
        </w:rPr>
        <w:t xml:space="preserve">Mapping taxonomy to dashboard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rPr>
          <w:tblHeader/>
        </w:trPr>
        <w:tc>
          <w:tcPr>
            <w:tcW w:type="dxa" w:w="3200"/>
            <w:tcBorders>
              <w:top w:val="single" w:color="D1D5DB" w:sz="4"/>
              <w:left w:val="single" w:color="D1D5DB" w:sz="4"/>
              <w:bottom w:val="single" w:color="D1D5DB" w:sz="4"/>
              <w:right w:val="single" w:color="D1D5DB" w:sz="4"/>
            </w:tcBorders>
            <w:shd w:fill="2E4057" w:val="clear"/>
            <w:tcMar>
              <w:top w:type="dxa" w:w="120"/>
              <w:left w:type="dxa" w:w="140"/>
              <w:bottom w:type="dxa" w:w="120"/>
              <w:right w:type="dxa" w:w="140"/>
            </w:tcMar>
            <w:vAlign w:val="center"/>
          </w:tcPr>
          <w:p>
            <w:pPr>
              <w:spacing w:after="0" w:before="0"/>
            </w:pPr>
            <w:r>
              <w:rPr>
                <w:rFonts w:ascii="Calibri" w:cs="Calibri" w:eastAsia="Calibri" w:hAnsi="Calibri"/>
                <w:b/>
                <w:bCs/>
                <w:color w:val="FFFFFF"/>
                <w:sz w:val="22"/>
                <w:szCs w:val="22"/>
              </w:rPr>
              <w:t xml:space="preserve">Dashboard feature</w:t>
            </w:r>
          </w:p>
        </w:tc>
        <w:tc>
          <w:tcPr>
            <w:tcW w:type="dxa" w:w="3000"/>
            <w:tcBorders>
              <w:top w:val="single" w:color="D1D5DB" w:sz="4"/>
              <w:left w:val="single" w:color="D1D5DB" w:sz="4"/>
              <w:bottom w:val="single" w:color="D1D5DB" w:sz="4"/>
              <w:right w:val="single" w:color="D1D5DB" w:sz="4"/>
            </w:tcBorders>
            <w:shd w:fill="2E4057" w:val="clear"/>
            <w:tcMar>
              <w:top w:type="dxa" w:w="120"/>
              <w:left w:type="dxa" w:w="140"/>
              <w:bottom w:type="dxa" w:w="120"/>
              <w:right w:type="dxa" w:w="140"/>
            </w:tcMar>
            <w:vAlign w:val="center"/>
          </w:tcPr>
          <w:p>
            <w:pPr>
              <w:spacing w:after="0" w:before="0"/>
            </w:pPr>
            <w:r>
              <w:rPr>
                <w:rFonts w:ascii="Calibri" w:cs="Calibri" w:eastAsia="Calibri" w:hAnsi="Calibri"/>
                <w:b/>
                <w:bCs/>
                <w:color w:val="FFFFFF"/>
                <w:sz w:val="22"/>
                <w:szCs w:val="22"/>
              </w:rPr>
              <w:t xml:space="preserve">Powered by</w:t>
            </w:r>
          </w:p>
        </w:tc>
        <w:tc>
          <w:tcPr>
            <w:tcW w:type="dxa" w:w="3160"/>
            <w:tcBorders>
              <w:top w:val="single" w:color="D1D5DB" w:sz="4"/>
              <w:left w:val="single" w:color="D1D5DB" w:sz="4"/>
              <w:bottom w:val="single" w:color="D1D5DB" w:sz="4"/>
              <w:right w:val="single" w:color="D1D5DB" w:sz="4"/>
            </w:tcBorders>
            <w:shd w:fill="2E4057" w:val="clear"/>
            <w:tcMar>
              <w:top w:type="dxa" w:w="120"/>
              <w:left w:type="dxa" w:w="140"/>
              <w:bottom w:type="dxa" w:w="120"/>
              <w:right w:type="dxa" w:w="140"/>
            </w:tcMar>
            <w:vAlign w:val="center"/>
          </w:tcPr>
          <w:p>
            <w:pPr>
              <w:spacing w:after="0" w:before="0"/>
            </w:pPr>
            <w:r>
              <w:rPr>
                <w:rFonts w:ascii="Calibri" w:cs="Calibri" w:eastAsia="Calibri" w:hAnsi="Calibri"/>
                <w:b/>
                <w:bCs/>
                <w:color w:val="FFFFFF"/>
                <w:sz w:val="22"/>
                <w:szCs w:val="22"/>
              </w:rPr>
              <w:t xml:space="preserve">How it works</w:t>
            </w:r>
          </w:p>
        </w:tc>
      </w:tr>
      <w:tr>
        <w:tc>
          <w:tcPr>
            <w:tcW w:type="dxa" w:w="32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bCs/>
                <w:color w:val="000000"/>
                <w:sz w:val="22"/>
                <w:szCs w:val="22"/>
              </w:rPr>
              <w:t xml:space="preserve">Live war-room feed</w:t>
            </w:r>
          </w:p>
        </w:tc>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val="false"/>
                <w:bCs w:val="false"/>
                <w:color w:val="000000"/>
                <w:sz w:val="22"/>
                <w:szCs w:val="22"/>
              </w:rPr>
              <w:t xml:space="preserve">All axes; filters by relevance score and phase</w:t>
            </w:r>
          </w:p>
        </w:tc>
        <w:tc>
          <w:tcPr>
            <w:tcW w:type="dxa" w:w="31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val="false"/>
                <w:bCs w:val="false"/>
                <w:color w:val="000000"/>
                <w:sz w:val="22"/>
                <w:szCs w:val="22"/>
              </w:rPr>
              <w:t xml:space="preserve">Articles streaming in, filtered to current edition and event phase, ranked by recency and importance.</w:t>
            </w:r>
          </w:p>
        </w:tc>
      </w:tr>
      <w:tr>
        <w:tc>
          <w:tcPr>
            <w:tcW w:type="dxa" w:w="32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bCs/>
                <w:color w:val="000000"/>
                <w:sz w:val="22"/>
                <w:szCs w:val="22"/>
              </w:rPr>
              <w:t xml:space="preserve">Category pulse tiles</w:t>
            </w:r>
          </w:p>
        </w:tc>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val="false"/>
                <w:bCs w:val="false"/>
                <w:color w:val="000000"/>
                <w:sz w:val="22"/>
                <w:szCs w:val="22"/>
              </w:rPr>
              <w:t xml:space="preserve">Axis 1 — Theme</w:t>
            </w:r>
          </w:p>
        </w:tc>
        <w:tc>
          <w:tcPr>
            <w:tcW w:type="dxa" w:w="31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val="false"/>
                <w:bCs w:val="false"/>
                <w:color w:val="000000"/>
                <w:sz w:val="22"/>
                <w:szCs w:val="22"/>
              </w:rPr>
              <w:t xml:space="preserve">Live counts and trend arrows for each of the 28 themes. Click drills into theme-specific feed.</w:t>
            </w:r>
          </w:p>
        </w:tc>
      </w:tr>
      <w:tr>
        <w:tc>
          <w:tcPr>
            <w:tcW w:type="dxa" w:w="32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bCs/>
                <w:color w:val="000000"/>
                <w:sz w:val="22"/>
                <w:szCs w:val="22"/>
              </w:rPr>
              <w:t xml:space="preserve">Map view with pins</w:t>
            </w:r>
          </w:p>
        </w:tc>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val="false"/>
                <w:bCs w:val="false"/>
                <w:color w:val="000000"/>
                <w:sz w:val="22"/>
                <w:szCs w:val="22"/>
              </w:rPr>
              <w:t xml:space="preserve">Axis 4 — Geography</w:t>
            </w:r>
          </w:p>
        </w:tc>
        <w:tc>
          <w:tcPr>
            <w:tcW w:type="dxa" w:w="31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val="false"/>
                <w:bCs w:val="false"/>
                <w:color w:val="000000"/>
                <w:sz w:val="22"/>
                <w:szCs w:val="22"/>
              </w:rPr>
              <w:t xml:space="preserve">Place tags drive pin locations; theme tags drive pin colors; recency drives pin animation.</w:t>
            </w:r>
          </w:p>
        </w:tc>
      </w:tr>
      <w:tr>
        <w:tc>
          <w:tcPr>
            <w:tcW w:type="dxa" w:w="32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bCs/>
                <w:color w:val="000000"/>
                <w:sz w:val="22"/>
                <w:szCs w:val="22"/>
              </w:rPr>
              <w:t xml:space="preserve">Misinfo radar panel</w:t>
            </w:r>
          </w:p>
        </w:tc>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val="false"/>
                <w:bCs w:val="false"/>
                <w:color w:val="000000"/>
                <w:sz w:val="22"/>
                <w:szCs w:val="22"/>
              </w:rPr>
              <w:t xml:space="preserve">Axis 6 — Information Quality</w:t>
            </w:r>
          </w:p>
        </w:tc>
        <w:tc>
          <w:tcPr>
            <w:tcW w:type="dxa" w:w="31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val="false"/>
                <w:bCs w:val="false"/>
                <w:color w:val="000000"/>
                <w:sz w:val="22"/>
                <w:szCs w:val="22"/>
              </w:rPr>
              <w:t xml:space="preserve">Items with risk_band high or critical, unreviewed or disputed, surfaced in a side panel.</w:t>
            </w:r>
          </w:p>
        </w:tc>
      </w:tr>
      <w:tr>
        <w:tc>
          <w:tcPr>
            <w:tcW w:type="dxa" w:w="32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bCs/>
                <w:color w:val="000000"/>
                <w:sz w:val="22"/>
                <w:szCs w:val="22"/>
              </w:rPr>
              <w:t xml:space="preserve">Promise-vs-delivery tracker</w:t>
            </w:r>
          </w:p>
        </w:tc>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val="false"/>
                <w:bCs w:val="false"/>
                <w:color w:val="000000"/>
                <w:sz w:val="22"/>
                <w:szCs w:val="22"/>
              </w:rPr>
              <w:t xml:space="preserve">Axes 1 + 2 + 5 — Theme, Event Type, Phase</w:t>
            </w:r>
          </w:p>
        </w:tc>
        <w:tc>
          <w:tcPr>
            <w:tcW w:type="dxa" w:w="31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val="false"/>
                <w:bCs w:val="false"/>
                <w:color w:val="000000"/>
                <w:sz w:val="22"/>
                <w:szCs w:val="22"/>
              </w:rPr>
              <w:t xml:space="preserve">Pairs announcements (planning) with milestones (buildup/aftermath) for the same theme and edition.</w:t>
            </w:r>
          </w:p>
        </w:tc>
      </w:tr>
      <w:tr>
        <w:tc>
          <w:tcPr>
            <w:tcW w:type="dxa" w:w="32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bCs/>
                <w:color w:val="000000"/>
                <w:sz w:val="22"/>
                <w:szCs w:val="22"/>
              </w:rPr>
              <w:t xml:space="preserve">Stakeholder voice gap analysis</w:t>
            </w:r>
          </w:p>
        </w:tc>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val="false"/>
                <w:bCs w:val="false"/>
                <w:color w:val="000000"/>
                <w:sz w:val="22"/>
                <w:szCs w:val="22"/>
              </w:rPr>
              <w:t xml:space="preserve">Axes 1 + 3 — Theme, Stakeholder</w:t>
            </w:r>
          </w:p>
        </w:tc>
        <w:tc>
          <w:tcPr>
            <w:tcW w:type="dxa" w:w="31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val="false"/>
                <w:bCs w:val="false"/>
                <w:color w:val="000000"/>
                <w:sz w:val="22"/>
                <w:szCs w:val="22"/>
              </w:rPr>
              <w:t xml:space="preserve">Identifies themes where certain stakeholders (e.g., pilgrims, civil society) are under-represented.</w:t>
            </w:r>
          </w:p>
        </w:tc>
      </w:tr>
      <w:tr>
        <w:tc>
          <w:tcPr>
            <w:tcW w:type="dxa" w:w="32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bCs/>
                <w:color w:val="000000"/>
                <w:sz w:val="22"/>
                <w:szCs w:val="22"/>
              </w:rPr>
              <w:t xml:space="preserve">Cross-edition comparison view</w:t>
            </w:r>
          </w:p>
        </w:tc>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val="false"/>
                <w:bCs w:val="false"/>
                <w:color w:val="000000"/>
                <w:sz w:val="22"/>
                <w:szCs w:val="22"/>
              </w:rPr>
              <w:t xml:space="preserve">Axis 4 — Geography (edition tags)</w:t>
            </w:r>
          </w:p>
        </w:tc>
        <w:tc>
          <w:tcPr>
            <w:tcW w:type="dxa" w:w="31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val="false"/>
                <w:bCs w:val="false"/>
                <w:color w:val="000000"/>
                <w:sz w:val="22"/>
                <w:szCs w:val="22"/>
              </w:rPr>
              <w:t xml:space="preserve">Side-by-side panels for 2015, 2025, and 2027 with shared theme and phase filters.</w:t>
            </w:r>
          </w:p>
        </w:tc>
      </w:tr>
      <w:tr>
        <w:tc>
          <w:tcPr>
            <w:tcW w:type="dxa" w:w="32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bCs/>
                <w:color w:val="000000"/>
                <w:sz w:val="22"/>
                <w:szCs w:val="22"/>
              </w:rPr>
              <w:t xml:space="preserve">Impact assessment dashboard</w:t>
            </w:r>
          </w:p>
        </w:tc>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val="false"/>
                <w:bCs w:val="false"/>
                <w:color w:val="000000"/>
                <w:sz w:val="22"/>
                <w:szCs w:val="22"/>
              </w:rPr>
              <w:t xml:space="preserve">Axis 7 — Outcome</w:t>
            </w:r>
          </w:p>
        </w:tc>
        <w:tc>
          <w:tcPr>
            <w:tcW w:type="dxa" w:w="31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val="false"/>
                <w:bCs w:val="false"/>
                <w:color w:val="000000"/>
                <w:sz w:val="22"/>
                <w:szCs w:val="22"/>
              </w:rPr>
              <w:t xml:space="preserve">Aggregates content by downstream outcome regardless of source theme — what affects public health, etc.</w:t>
            </w:r>
          </w:p>
        </w:tc>
      </w:tr>
      <w:tr>
        <w:tc>
          <w:tcPr>
            <w:tcW w:type="dxa" w:w="32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bCs/>
                <w:color w:val="000000"/>
                <w:sz w:val="22"/>
                <w:szCs w:val="22"/>
              </w:rPr>
              <w:t xml:space="preserve">Daily AI brief per theme</w:t>
            </w:r>
          </w:p>
        </w:tc>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val="false"/>
                <w:bCs w:val="false"/>
                <w:color w:val="000000"/>
                <w:sz w:val="22"/>
                <w:szCs w:val="22"/>
              </w:rPr>
              <w:t xml:space="preserve">Axes 1 + 5 + 6</w:t>
            </w:r>
          </w:p>
        </w:tc>
        <w:tc>
          <w:tcPr>
            <w:tcW w:type="dxa" w:w="31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val="false"/>
                <w:bCs w:val="false"/>
                <w:color w:val="000000"/>
                <w:sz w:val="22"/>
                <w:szCs w:val="22"/>
              </w:rPr>
              <w:t xml:space="preserve">LLM-synthesized summary of the day's content per theme, weighted by information quality.</w:t>
            </w:r>
          </w:p>
        </w:tc>
      </w:tr>
      <w:tr>
        <w:tc>
          <w:tcPr>
            <w:tcW w:type="dxa" w:w="32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bCs/>
                <w:color w:val="000000"/>
                <w:sz w:val="22"/>
                <w:szCs w:val="22"/>
              </w:rPr>
              <w:t xml:space="preserve">Public API (open data)</w:t>
            </w:r>
          </w:p>
        </w:tc>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val="false"/>
                <w:bCs w:val="false"/>
                <w:color w:val="000000"/>
                <w:sz w:val="22"/>
                <w:szCs w:val="22"/>
              </w:rPr>
              <w:t xml:space="preserve">All axes</w:t>
            </w:r>
          </w:p>
        </w:tc>
        <w:tc>
          <w:tcPr>
            <w:tcW w:type="dxa" w:w="31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before="0"/>
            </w:pPr>
            <w:r>
              <w:rPr>
                <w:rFonts w:ascii="Calibri" w:cs="Calibri" w:eastAsia="Calibri" w:hAnsi="Calibri"/>
                <w:b w:val="false"/>
                <w:bCs w:val="false"/>
                <w:color w:val="000000"/>
                <w:sz w:val="22"/>
                <w:szCs w:val="22"/>
              </w:rPr>
              <w:t xml:space="preserve">External builders and researchers query any combination of axes through a documented REST API.</w:t>
            </w:r>
          </w:p>
        </w:tc>
      </w:tr>
    </w:tbl>
    <w:p>
      <w:pPr>
        <w:spacing w:after="80" w:before="80"/>
      </w:pPr>
      <w:r>
        <w:t xml:space="preserve"/>
      </w:r>
    </w:p>
    <w:p>
      <w:pPr>
        <w:pStyle w:val="Heading3"/>
        <w:spacing w:after="110" w:before="220"/>
      </w:pPr>
      <w:r>
        <w:rPr>
          <w:rFonts w:ascii="Calibri" w:cs="Calibri" w:eastAsia="Calibri" w:hAnsi="Calibri"/>
          <w:b/>
          <w:bCs/>
          <w:color w:val="C8553D"/>
          <w:sz w:val="26"/>
          <w:szCs w:val="26"/>
        </w:rPr>
        <w:t xml:space="preserve">Why this map matters</w:t>
      </w:r>
    </w:p>
    <w:p>
      <w:pPr>
        <w:spacing w:after="60" w:before="60" w:line="320"/>
      </w:pPr>
      <w:r>
        <w:rPr>
          <w:rFonts w:ascii="Calibri" w:cs="Calibri" w:eastAsia="Calibri" w:hAnsi="Calibri"/>
          <w:sz w:val="22"/>
          <w:szCs w:val="22"/>
        </w:rPr>
        <w:t xml:space="preserve">Every feature in the dashboard is achievable because the taxonomy makes the underlying query expressible. Features that are not in this mapping are features the taxonomy does not yet support — and that gap is a signal to extend the taxonomy, not to hard-code the feature.</w:t>
      </w:r>
    </w:p>
    <w:p>
      <w:pPr>
        <w:spacing w:after="60" w:before="60" w:line="320"/>
      </w:pPr>
      <w:r>
        <w:rPr>
          <w:rFonts w:ascii="Calibri" w:cs="Calibri" w:eastAsia="Calibri" w:hAnsi="Calibri"/>
          <w:sz w:val="22"/>
          <w:szCs w:val="22"/>
        </w:rPr>
        <w:t xml:space="preserve">Conversely, every tag in the taxonomy should drive at least one dashboard or query feature. A tag that no feature uses is a tag without purpose; it should be retired in the next version. The mapping above is also a discipline tool — when proposing a new tag, the proposer should be able to point to the dashboard feature or research query it enables.</w:t>
      </w:r>
    </w:p>
    <w:p>
      <w:r>
        <w:br w:type="page"/>
      </w:r>
    </w:p>
    <w:p>
      <w:pPr>
        <w:pStyle w:val="Heading1"/>
        <w:spacing w:after="180" w:before="360"/>
      </w:pPr>
      <w:r>
        <w:rPr>
          <w:rFonts w:ascii="Calibri" w:cs="Calibri" w:eastAsia="Calibri" w:hAnsi="Calibri"/>
          <w:b/>
          <w:bCs/>
          <w:color w:val="2E4057"/>
          <w:sz w:val="36"/>
          <w:szCs w:val="36"/>
        </w:rPr>
        <w:t xml:space="preserve">12. How to extend the taxonomy in the future</w:t>
      </w:r>
    </w:p>
    <w:p>
      <w:pPr>
        <w:spacing w:after="60" w:before="60" w:line="320"/>
      </w:pPr>
      <w:r>
        <w:rPr>
          <w:rFonts w:ascii="Calibri" w:cs="Calibri" w:eastAsia="Calibri" w:hAnsi="Calibri"/>
          <w:sz w:val="22"/>
          <w:szCs w:val="22"/>
        </w:rPr>
        <w:t xml:space="preserve">The taxonomy is built to grow. A live archive will discover gaps that this v1 cannot anticipate. The system is designed so that adding a new tag, refining a definition, or even introducing a new axis is a routine, low-risk operation — provided the rules below are followed.</w:t>
      </w:r>
    </w:p>
    <w:p>
      <w:pPr>
        <w:pStyle w:val="Heading3"/>
        <w:spacing w:after="110" w:before="220"/>
      </w:pPr>
      <w:r>
        <w:rPr>
          <w:rFonts w:ascii="Calibri" w:cs="Calibri" w:eastAsia="Calibri" w:hAnsi="Calibri"/>
          <w:b/>
          <w:bCs/>
          <w:color w:val="C8553D"/>
          <w:sz w:val="26"/>
          <w:szCs w:val="26"/>
        </w:rPr>
        <w:t xml:space="preserve">Four kinds of extension, in order of frequency</w:t>
      </w:r>
    </w:p>
    <w:p>
      <w:pPr>
        <w:pStyle w:val="Heading4"/>
        <w:spacing w:after="90" w:before="180"/>
      </w:pPr>
      <w:r>
        <w:rPr>
          <w:rFonts w:ascii="Calibri" w:cs="Calibri" w:eastAsia="Calibri" w:hAnsi="Calibri"/>
          <w:b/>
          <w:bCs/>
          <w:color w:val="2E4057"/>
          <w:sz w:val="24"/>
          <w:szCs w:val="24"/>
        </w:rPr>
        <w:t xml:space="preserve">1. Adding a new tag to an existing axis (most common)</w:t>
      </w:r>
    </w:p>
    <w:p>
      <w:pPr>
        <w:spacing w:after="60" w:before="60" w:line="320"/>
      </w:pPr>
      <w:r>
        <w:rPr>
          <w:rFonts w:ascii="Calibri" w:cs="Calibri" w:eastAsia="Calibri" w:hAnsi="Calibri"/>
          <w:sz w:val="22"/>
          <w:szCs w:val="22"/>
        </w:rPr>
        <w:t xml:space="preserve">Most extensions take this form. A new theme emerges (for example, theme.water_recycling), a new place becomes relevant (a newly constructed sadhugram zone), or a new stakeholder type surfaces (international religious orders attending for the first time).</w:t>
      </w:r>
    </w:p>
    <w:p>
      <w:pPr>
        <w:pStyle w:val="ListParagraph"/>
        <w:numPr>
          <w:ilvl w:val="0"/>
          <w:numId w:val="3"/>
        </w:numPr>
        <w:spacing w:after="40" w:before="40" w:line="300"/>
      </w:pPr>
      <w:r>
        <w:rPr>
          <w:rFonts w:ascii="Calibri" w:cs="Calibri" w:eastAsia="Calibri" w:hAnsi="Calibri"/>
          <w:sz w:val="22"/>
          <w:szCs w:val="22"/>
        </w:rPr>
        <w:t xml:space="preserve">Propose the new tag in the disputes log along with three or more example items it would apply to.</w:t>
      </w:r>
    </w:p>
    <w:p>
      <w:pPr>
        <w:pStyle w:val="ListParagraph"/>
        <w:numPr>
          <w:ilvl w:val="0"/>
          <w:numId w:val="3"/>
        </w:numPr>
        <w:spacing w:after="40" w:before="40" w:line="300"/>
      </w:pPr>
      <w:r>
        <w:rPr>
          <w:rFonts w:ascii="Calibri" w:cs="Calibri" w:eastAsia="Calibri" w:hAnsi="Calibri"/>
          <w:sz w:val="22"/>
          <w:szCs w:val="22"/>
        </w:rPr>
        <w:t xml:space="preserve">Confirm the new tag does not overlap with an existing tag. If it would, decide whether to split the existing tag or refine its definition instead.</w:t>
      </w:r>
    </w:p>
    <w:p>
      <w:pPr>
        <w:pStyle w:val="ListParagraph"/>
        <w:numPr>
          <w:ilvl w:val="0"/>
          <w:numId w:val="3"/>
        </w:numPr>
        <w:spacing w:after="40" w:before="40" w:line="300"/>
      </w:pPr>
      <w:r>
        <w:rPr>
          <w:rFonts w:ascii="Calibri" w:cs="Calibri" w:eastAsia="Calibri" w:hAnsi="Calibri"/>
          <w:sz w:val="22"/>
          <w:szCs w:val="22"/>
        </w:rPr>
        <w:t xml:space="preserve">Add a row to the relevant database table — tags are data, not code.</w:t>
      </w:r>
    </w:p>
    <w:p>
      <w:pPr>
        <w:pStyle w:val="ListParagraph"/>
        <w:numPr>
          <w:ilvl w:val="0"/>
          <w:numId w:val="3"/>
        </w:numPr>
        <w:spacing w:after="40" w:before="40" w:line="300"/>
      </w:pPr>
      <w:r>
        <w:rPr>
          <w:rFonts w:ascii="Calibri" w:cs="Calibri" w:eastAsia="Calibri" w:hAnsi="Calibri"/>
          <w:sz w:val="22"/>
          <w:szCs w:val="22"/>
        </w:rPr>
        <w:t xml:space="preserve">Update the classifier prompt so the LLM is aware of the new tag and its definition (the prompt reads definitions from the database).</w:t>
      </w:r>
    </w:p>
    <w:p>
      <w:pPr>
        <w:pStyle w:val="ListParagraph"/>
        <w:numPr>
          <w:ilvl w:val="0"/>
          <w:numId w:val="3"/>
        </w:numPr>
        <w:spacing w:after="40" w:before="40" w:line="300"/>
      </w:pPr>
      <w:r>
        <w:rPr>
          <w:rFonts w:ascii="Calibri" w:cs="Calibri" w:eastAsia="Calibri" w:hAnsi="Calibri"/>
          <w:sz w:val="22"/>
          <w:szCs w:val="22"/>
        </w:rPr>
        <w:t xml:space="preserve">Update this document with the new tag, its definition, and an example.</w:t>
      </w:r>
    </w:p>
    <w:p>
      <w:pPr>
        <w:pStyle w:val="ListParagraph"/>
        <w:numPr>
          <w:ilvl w:val="0"/>
          <w:numId w:val="3"/>
        </w:numPr>
        <w:spacing w:after="40" w:before="40" w:line="300"/>
      </w:pPr>
      <w:r>
        <w:rPr>
          <w:rFonts w:ascii="Calibri" w:cs="Calibri" w:eastAsia="Calibri" w:hAnsi="Calibri"/>
          <w:sz w:val="22"/>
          <w:szCs w:val="22"/>
        </w:rPr>
        <w:t xml:space="preserve">Trigger a re-classification pass on a sampled subset of existing content to surface items that should now carry the new tag.</w:t>
      </w:r>
    </w:p>
    <w:p>
      <w:pPr>
        <w:pStyle w:val="ListParagraph"/>
        <w:numPr>
          <w:ilvl w:val="0"/>
          <w:numId w:val="3"/>
        </w:numPr>
        <w:spacing w:after="40" w:before="40" w:line="300"/>
      </w:pPr>
      <w:r>
        <w:rPr>
          <w:rFonts w:ascii="Calibri" w:cs="Calibri" w:eastAsia="Calibri" w:hAnsi="Calibri"/>
          <w:sz w:val="22"/>
          <w:szCs w:val="22"/>
        </w:rPr>
        <w:t xml:space="preserve">Bump the taxonomy version: 1.0 → 1.1 for additions, 2.0 for breaking changes.</w:t>
      </w:r>
    </w:p>
    <w:p>
      <w:pPr>
        <w:pStyle w:val="Heading4"/>
        <w:spacing w:after="90" w:before="180"/>
      </w:pPr>
      <w:r>
        <w:rPr>
          <w:rFonts w:ascii="Calibri" w:cs="Calibri" w:eastAsia="Calibri" w:hAnsi="Calibri"/>
          <w:b/>
          <w:bCs/>
          <w:color w:val="2E4057"/>
          <w:sz w:val="24"/>
          <w:szCs w:val="24"/>
        </w:rPr>
        <w:t xml:space="preserve">2. Refining a definition (regular)</w:t>
      </w:r>
    </w:p>
    <w:p>
      <w:pPr>
        <w:spacing w:after="60" w:before="60" w:line="320"/>
      </w:pPr>
      <w:r>
        <w:rPr>
          <w:rFonts w:ascii="Calibri" w:cs="Calibri" w:eastAsia="Calibri" w:hAnsi="Calibri"/>
          <w:sz w:val="22"/>
          <w:szCs w:val="22"/>
        </w:rPr>
        <w:t xml:space="preserve">As real content arrives, the team will discover edges that v1 did not handle. The definition gets sharpened. Refinements do not require renaming the tag — the tag ID is stable forever. Only the display_name or definition field changes.</w:t>
      </w:r>
    </w:p>
    <w:p>
      <w:pPr>
        <w:pStyle w:val="ListParagraph"/>
        <w:numPr>
          <w:ilvl w:val="0"/>
          <w:numId w:val="3"/>
        </w:numPr>
        <w:spacing w:after="40" w:before="40" w:line="300"/>
      </w:pPr>
      <w:r>
        <w:rPr>
          <w:rFonts w:ascii="Calibri" w:cs="Calibri" w:eastAsia="Calibri" w:hAnsi="Calibri"/>
          <w:sz w:val="22"/>
          <w:szCs w:val="22"/>
        </w:rPr>
        <w:t xml:space="preserve">Log the refinement in the disputes log with the cases that prompted it.</w:t>
      </w:r>
    </w:p>
    <w:p>
      <w:pPr>
        <w:pStyle w:val="ListParagraph"/>
        <w:numPr>
          <w:ilvl w:val="0"/>
          <w:numId w:val="3"/>
        </w:numPr>
        <w:spacing w:after="40" w:before="40" w:line="300"/>
      </w:pPr>
      <w:r>
        <w:rPr>
          <w:rFonts w:ascii="Calibri" w:cs="Calibri" w:eastAsia="Calibri" w:hAnsi="Calibri"/>
          <w:sz w:val="22"/>
          <w:szCs w:val="22"/>
        </w:rPr>
        <w:t xml:space="preserve">Update the definition in the database.</w:t>
      </w:r>
    </w:p>
    <w:p>
      <w:pPr>
        <w:pStyle w:val="ListParagraph"/>
        <w:numPr>
          <w:ilvl w:val="0"/>
          <w:numId w:val="3"/>
        </w:numPr>
        <w:spacing w:after="40" w:before="40" w:line="300"/>
      </w:pPr>
      <w:r>
        <w:rPr>
          <w:rFonts w:ascii="Calibri" w:cs="Calibri" w:eastAsia="Calibri" w:hAnsi="Calibri"/>
          <w:sz w:val="22"/>
          <w:szCs w:val="22"/>
        </w:rPr>
        <w:t xml:space="preserve">Update this document.</w:t>
      </w:r>
    </w:p>
    <w:p>
      <w:pPr>
        <w:pStyle w:val="ListParagraph"/>
        <w:numPr>
          <w:ilvl w:val="0"/>
          <w:numId w:val="3"/>
        </w:numPr>
        <w:spacing w:after="40" w:before="40" w:line="300"/>
      </w:pPr>
      <w:r>
        <w:rPr>
          <w:rFonts w:ascii="Calibri" w:cs="Calibri" w:eastAsia="Calibri" w:hAnsi="Calibri"/>
          <w:sz w:val="22"/>
          <w:szCs w:val="22"/>
        </w:rPr>
        <w:t xml:space="preserve">Decide whether re-classification is needed. Most refinements do not require re-classifying past content because the refinement clarifies an edge case rather than redrawing the boundary.</w:t>
      </w:r>
    </w:p>
    <w:p>
      <w:pPr>
        <w:pStyle w:val="ListParagraph"/>
        <w:numPr>
          <w:ilvl w:val="0"/>
          <w:numId w:val="3"/>
        </w:numPr>
        <w:spacing w:after="40" w:before="40" w:line="300"/>
      </w:pPr>
      <w:r>
        <w:rPr>
          <w:rFonts w:ascii="Calibri" w:cs="Calibri" w:eastAsia="Calibri" w:hAnsi="Calibri"/>
          <w:sz w:val="22"/>
          <w:szCs w:val="22"/>
        </w:rPr>
        <w:t xml:space="preserve">Bump the taxonomy version by a minor number.</w:t>
      </w:r>
    </w:p>
    <w:p>
      <w:pPr>
        <w:pStyle w:val="Heading4"/>
        <w:spacing w:after="90" w:before="180"/>
      </w:pPr>
      <w:r>
        <w:rPr>
          <w:rFonts w:ascii="Calibri" w:cs="Calibri" w:eastAsia="Calibri" w:hAnsi="Calibri"/>
          <w:b/>
          <w:bCs/>
          <w:color w:val="2E4057"/>
          <w:sz w:val="24"/>
          <w:szCs w:val="24"/>
        </w:rPr>
        <w:t xml:space="preserve">3. Deprecating a tag (rare)</w:t>
      </w:r>
    </w:p>
    <w:p>
      <w:pPr>
        <w:spacing w:after="60" w:before="60" w:line="320"/>
      </w:pPr>
      <w:r>
        <w:rPr>
          <w:rFonts w:ascii="Calibri" w:cs="Calibri" w:eastAsia="Calibri" w:hAnsi="Calibri"/>
          <w:sz w:val="22"/>
          <w:szCs w:val="22"/>
        </w:rPr>
        <w:t xml:space="preserve">Sometimes a tag turns out to be a bad idea — too vague, too narrow, or redundant with another tag. Tags are deprecated, never deleted. Deletion would break old queries, citations, and external integrations.</w:t>
      </w:r>
    </w:p>
    <w:p>
      <w:pPr>
        <w:pStyle w:val="ListParagraph"/>
        <w:numPr>
          <w:ilvl w:val="0"/>
          <w:numId w:val="3"/>
        </w:numPr>
        <w:spacing w:after="40" w:before="40" w:line="300"/>
      </w:pPr>
      <w:r>
        <w:rPr>
          <w:rFonts w:ascii="Calibri" w:cs="Calibri" w:eastAsia="Calibri" w:hAnsi="Calibri"/>
          <w:sz w:val="22"/>
          <w:szCs w:val="22"/>
        </w:rPr>
        <w:t xml:space="preserve">Mark the tag's status as deprecated in the database.</w:t>
      </w:r>
    </w:p>
    <w:p>
      <w:pPr>
        <w:pStyle w:val="ListParagraph"/>
        <w:numPr>
          <w:ilvl w:val="0"/>
          <w:numId w:val="3"/>
        </w:numPr>
        <w:spacing w:after="40" w:before="40" w:line="300"/>
      </w:pPr>
      <w:r>
        <w:rPr>
          <w:rFonts w:ascii="Calibri" w:cs="Calibri" w:eastAsia="Calibri" w:hAnsi="Calibri"/>
          <w:sz w:val="22"/>
          <w:szCs w:val="22"/>
        </w:rPr>
        <w:t xml:space="preserve">Stop the classifier from applying the tag to new content.</w:t>
      </w:r>
    </w:p>
    <w:p>
      <w:pPr>
        <w:pStyle w:val="ListParagraph"/>
        <w:numPr>
          <w:ilvl w:val="0"/>
          <w:numId w:val="3"/>
        </w:numPr>
        <w:spacing w:after="40" w:before="40" w:line="300"/>
      </w:pPr>
      <w:r>
        <w:rPr>
          <w:rFonts w:ascii="Calibri" w:cs="Calibri" w:eastAsia="Calibri" w:hAnsi="Calibri"/>
          <w:sz w:val="22"/>
          <w:szCs w:val="22"/>
        </w:rPr>
        <w:t xml:space="preserve">Optionally re-classify past content to migrate it to a replacement tag.</w:t>
      </w:r>
    </w:p>
    <w:p>
      <w:pPr>
        <w:pStyle w:val="ListParagraph"/>
        <w:numPr>
          <w:ilvl w:val="0"/>
          <w:numId w:val="3"/>
        </w:numPr>
        <w:spacing w:after="40" w:before="40" w:line="300"/>
      </w:pPr>
      <w:r>
        <w:rPr>
          <w:rFonts w:ascii="Calibri" w:cs="Calibri" w:eastAsia="Calibri" w:hAnsi="Calibri"/>
          <w:sz w:val="22"/>
          <w:szCs w:val="22"/>
        </w:rPr>
        <w:t xml:space="preserve">The deprecated tag stays queryable for archival and reproducibility — researchers who cited it can still find what they cited.</w:t>
      </w:r>
    </w:p>
    <w:p>
      <w:pPr>
        <w:pStyle w:val="ListParagraph"/>
        <w:numPr>
          <w:ilvl w:val="0"/>
          <w:numId w:val="3"/>
        </w:numPr>
        <w:spacing w:after="40" w:before="40" w:line="300"/>
      </w:pPr>
      <w:r>
        <w:rPr>
          <w:rFonts w:ascii="Calibri" w:cs="Calibri" w:eastAsia="Calibri" w:hAnsi="Calibri"/>
          <w:sz w:val="22"/>
          <w:szCs w:val="22"/>
        </w:rPr>
        <w:t xml:space="preserve">Document the deprecation in this document with the date and reason.</w:t>
      </w:r>
    </w:p>
    <w:p>
      <w:pPr>
        <w:pStyle w:val="Heading4"/>
        <w:spacing w:after="90" w:before="180"/>
      </w:pPr>
      <w:r>
        <w:rPr>
          <w:rFonts w:ascii="Calibri" w:cs="Calibri" w:eastAsia="Calibri" w:hAnsi="Calibri"/>
          <w:b/>
          <w:bCs/>
          <w:color w:val="2E4057"/>
          <w:sz w:val="24"/>
          <w:szCs w:val="24"/>
        </w:rPr>
        <w:t xml:space="preserve">4. Adding a new axis (rare and significant)</w:t>
      </w:r>
    </w:p>
    <w:p>
      <w:pPr>
        <w:spacing w:after="60" w:before="60" w:line="320"/>
      </w:pPr>
      <w:r>
        <w:rPr>
          <w:rFonts w:ascii="Calibri" w:cs="Calibri" w:eastAsia="Calibri" w:hAnsi="Calibri"/>
          <w:sz w:val="22"/>
          <w:szCs w:val="22"/>
        </w:rPr>
        <w:t xml:space="preserve">Adding an eighth axis is a major change. It affects the classifier prompt, the database schema, the dashboard UI, and the public API. v1 commits to seven axes; an eighth should not be introduced lightly.</w:t>
      </w:r>
    </w:p>
    <w:p>
      <w:pPr>
        <w:pStyle w:val="ListParagraph"/>
        <w:numPr>
          <w:ilvl w:val="0"/>
          <w:numId w:val="3"/>
        </w:numPr>
        <w:spacing w:after="40" w:before="40" w:line="300"/>
      </w:pPr>
      <w:r>
        <w:rPr>
          <w:rFonts w:ascii="Calibri" w:cs="Calibri" w:eastAsia="Calibri" w:hAnsi="Calibri"/>
          <w:sz w:val="22"/>
          <w:szCs w:val="22"/>
        </w:rPr>
        <w:t xml:space="preserve">Document the proposed axis: what question it answers, why no existing axis covers it, what tags it would contain.</w:t>
      </w:r>
    </w:p>
    <w:p>
      <w:pPr>
        <w:pStyle w:val="ListParagraph"/>
        <w:numPr>
          <w:ilvl w:val="0"/>
          <w:numId w:val="3"/>
        </w:numPr>
        <w:spacing w:after="40" w:before="40" w:line="300"/>
      </w:pPr>
      <w:r>
        <w:rPr>
          <w:rFonts w:ascii="Calibri" w:cs="Calibri" w:eastAsia="Calibri" w:hAnsi="Calibri"/>
          <w:sz w:val="22"/>
          <w:szCs w:val="22"/>
        </w:rPr>
        <w:t xml:space="preserve">Test the proposed axis on 100 existing items by hand-tagging. If most items would be tagged trivially or in the default value, the axis adds little information and should be rejected.</w:t>
      </w:r>
    </w:p>
    <w:p>
      <w:pPr>
        <w:pStyle w:val="ListParagraph"/>
        <w:numPr>
          <w:ilvl w:val="0"/>
          <w:numId w:val="3"/>
        </w:numPr>
        <w:spacing w:after="40" w:before="40" w:line="300"/>
      </w:pPr>
      <w:r>
        <w:rPr>
          <w:rFonts w:ascii="Calibri" w:cs="Calibri" w:eastAsia="Calibri" w:hAnsi="Calibri"/>
          <w:sz w:val="22"/>
          <w:szCs w:val="22"/>
        </w:rPr>
        <w:t xml:space="preserve">Plan the schema migration (a new table or set of fields), the classifier prompt update, the UI surface, and the API endpoints.</w:t>
      </w:r>
    </w:p>
    <w:p>
      <w:pPr>
        <w:pStyle w:val="ListParagraph"/>
        <w:numPr>
          <w:ilvl w:val="0"/>
          <w:numId w:val="3"/>
        </w:numPr>
        <w:spacing w:after="40" w:before="40" w:line="300"/>
      </w:pPr>
      <w:r>
        <w:rPr>
          <w:rFonts w:ascii="Calibri" w:cs="Calibri" w:eastAsia="Calibri" w:hAnsi="Calibri"/>
          <w:sz w:val="22"/>
          <w:szCs w:val="22"/>
        </w:rPr>
        <w:t xml:space="preserve">Run a full back-classification pass to apply the new axis to all existing content.</w:t>
      </w:r>
    </w:p>
    <w:p>
      <w:pPr>
        <w:pStyle w:val="ListParagraph"/>
        <w:numPr>
          <w:ilvl w:val="0"/>
          <w:numId w:val="3"/>
        </w:numPr>
        <w:spacing w:after="40" w:before="40" w:line="300"/>
      </w:pPr>
      <w:r>
        <w:rPr>
          <w:rFonts w:ascii="Calibri" w:cs="Calibri" w:eastAsia="Calibri" w:hAnsi="Calibri"/>
          <w:sz w:val="22"/>
          <w:szCs w:val="22"/>
        </w:rPr>
        <w:t xml:space="preserve">Bump the major version: 1.x → 2.0.</w:t>
      </w:r>
    </w:p>
    <w:p>
      <w:pPr>
        <w:pStyle w:val="Heading3"/>
        <w:spacing w:after="110" w:before="220"/>
      </w:pPr>
      <w:r>
        <w:rPr>
          <w:rFonts w:ascii="Calibri" w:cs="Calibri" w:eastAsia="Calibri" w:hAnsi="Calibri"/>
          <w:b/>
          <w:bCs/>
          <w:color w:val="C8553D"/>
          <w:sz w:val="26"/>
          <w:szCs w:val="26"/>
        </w:rPr>
        <w:t xml:space="preserve">Five rules for healthy taxonomy growth</w:t>
      </w:r>
    </w:p>
    <w:p>
      <w:pPr>
        <w:pStyle w:val="ListParagraph"/>
        <w:numPr>
          <w:ilvl w:val="0"/>
          <w:numId w:val="2"/>
        </w:numPr>
        <w:spacing w:after="40" w:before="40" w:line="300"/>
      </w:pPr>
      <w:r>
        <w:rPr>
          <w:rFonts w:ascii="Calibri" w:cs="Calibri" w:eastAsia="Calibri" w:hAnsi="Calibri"/>
          <w:b/>
          <w:bCs/>
          <w:sz w:val="22"/>
          <w:szCs w:val="22"/>
        </w:rPr>
        <w:t xml:space="preserve">Tag IDs never change. </w:t>
      </w:r>
      <w:r>
        <w:rPr>
          <w:rFonts w:ascii="Calibri" w:cs="Calibri" w:eastAsia="Calibri" w:hAnsi="Calibri"/>
          <w:sz w:val="22"/>
          <w:szCs w:val="22"/>
        </w:rPr>
        <w:t xml:space="preserve">Once a tag is published, its ID is stable forever. Display names can be edited freely; IDs cannot. External systems depend on IDs.</w:t>
      </w:r>
    </w:p>
    <w:p>
      <w:pPr>
        <w:pStyle w:val="ListParagraph"/>
        <w:numPr>
          <w:ilvl w:val="0"/>
          <w:numId w:val="2"/>
        </w:numPr>
        <w:spacing w:after="40" w:before="40" w:line="300"/>
      </w:pPr>
      <w:r>
        <w:rPr>
          <w:rFonts w:ascii="Calibri" w:cs="Calibri" w:eastAsia="Calibri" w:hAnsi="Calibri"/>
          <w:b/>
          <w:bCs/>
          <w:sz w:val="22"/>
          <w:szCs w:val="22"/>
        </w:rPr>
        <w:t xml:space="preserve">Deprecation, not deletion. </w:t>
      </w:r>
      <w:r>
        <w:rPr>
          <w:rFonts w:ascii="Calibri" w:cs="Calibri" w:eastAsia="Calibri" w:hAnsi="Calibri"/>
          <w:sz w:val="22"/>
          <w:szCs w:val="22"/>
        </w:rPr>
        <w:t xml:space="preserve">Removed tags are marked deprecated and stay queryable. Historical citations remain valid.</w:t>
      </w:r>
    </w:p>
    <w:p>
      <w:pPr>
        <w:pStyle w:val="ListParagraph"/>
        <w:numPr>
          <w:ilvl w:val="0"/>
          <w:numId w:val="2"/>
        </w:numPr>
        <w:spacing w:after="40" w:before="40" w:line="300"/>
      </w:pPr>
      <w:r>
        <w:rPr>
          <w:rFonts w:ascii="Calibri" w:cs="Calibri" w:eastAsia="Calibri" w:hAnsi="Calibri"/>
          <w:b/>
          <w:bCs/>
          <w:sz w:val="22"/>
          <w:szCs w:val="22"/>
        </w:rPr>
        <w:t xml:space="preserve">Disputes drive extensions. </w:t>
      </w:r>
      <w:r>
        <w:rPr>
          <w:rFonts w:ascii="Calibri" w:cs="Calibri" w:eastAsia="Calibri" w:hAnsi="Calibri"/>
          <w:sz w:val="22"/>
          <w:szCs w:val="22"/>
        </w:rPr>
        <w:t xml:space="preserve">Real-world tagging difficulties recorded in the disputes log are the primary source of v1.1+ improvements. The taxonomy grows in response to evidence, not opinions.</w:t>
      </w:r>
    </w:p>
    <w:p>
      <w:pPr>
        <w:pStyle w:val="ListParagraph"/>
        <w:numPr>
          <w:ilvl w:val="0"/>
          <w:numId w:val="2"/>
        </w:numPr>
        <w:spacing w:after="40" w:before="40" w:line="300"/>
      </w:pPr>
      <w:r>
        <w:rPr>
          <w:rFonts w:ascii="Calibri" w:cs="Calibri" w:eastAsia="Calibri" w:hAnsi="Calibri"/>
          <w:b/>
          <w:bCs/>
          <w:sz w:val="22"/>
          <w:szCs w:val="22"/>
        </w:rPr>
        <w:t xml:space="preserve">Every tag must justify itself. </w:t>
      </w:r>
      <w:r>
        <w:rPr>
          <w:rFonts w:ascii="Calibri" w:cs="Calibri" w:eastAsia="Calibri" w:hAnsi="Calibri"/>
          <w:sz w:val="22"/>
          <w:szCs w:val="22"/>
        </w:rPr>
        <w:t xml:space="preserve">Each new tag should point to at least one research query or dashboard feature it enables. Tags that no feature uses get cut.</w:t>
      </w:r>
    </w:p>
    <w:p>
      <w:pPr>
        <w:pStyle w:val="ListParagraph"/>
        <w:numPr>
          <w:ilvl w:val="0"/>
          <w:numId w:val="2"/>
        </w:numPr>
        <w:spacing w:after="40" w:before="40" w:line="300"/>
      </w:pPr>
      <w:r>
        <w:rPr>
          <w:rFonts w:ascii="Calibri" w:cs="Calibri" w:eastAsia="Calibri" w:hAnsi="Calibri"/>
          <w:b/>
          <w:bCs/>
          <w:sz w:val="22"/>
          <w:szCs w:val="22"/>
        </w:rPr>
        <w:t xml:space="preserve">Version everything. </w:t>
      </w:r>
      <w:r>
        <w:rPr>
          <w:rFonts w:ascii="Calibri" w:cs="Calibri" w:eastAsia="Calibri" w:hAnsi="Calibri"/>
          <w:sz w:val="22"/>
          <w:szCs w:val="22"/>
        </w:rPr>
        <w:t xml:space="preserve">Every classification result is stamped with the taxonomy version that produced it. Reproducibility is preserved across the project's life.</w:t>
      </w:r>
    </w:p>
    <w:p>
      <w:r>
        <w:br w:type="page"/>
      </w:r>
    </w:p>
    <w:p>
      <w:pPr>
        <w:pStyle w:val="Heading1"/>
        <w:spacing w:after="180" w:before="360"/>
      </w:pPr>
      <w:r>
        <w:rPr>
          <w:rFonts w:ascii="Calibri" w:cs="Calibri" w:eastAsia="Calibri" w:hAnsi="Calibri"/>
          <w:b/>
          <w:bCs/>
          <w:color w:val="2E4057"/>
          <w:sz w:val="36"/>
          <w:szCs w:val="36"/>
        </w:rPr>
        <w:t xml:space="preserve">13. Governance — versioning, disputes, and review</w:t>
      </w:r>
    </w:p>
    <w:p>
      <w:pPr>
        <w:spacing w:after="60" w:before="60" w:line="320"/>
      </w:pPr>
      <w:r>
        <w:rPr>
          <w:rFonts w:ascii="Calibri" w:cs="Calibri" w:eastAsia="Calibri" w:hAnsi="Calibri"/>
          <w:sz w:val="22"/>
          <w:szCs w:val="22"/>
        </w:rPr>
        <w:t xml:space="preserve">The taxonomy is a living document, but it is governed. Without governance, multiple team members tagging in parallel produce drift, contradictions, and silent disagreements that surface only as broken queries months later. The governance described here is lightweight but non-negotiable.</w:t>
      </w:r>
    </w:p>
    <w:p>
      <w:pPr>
        <w:pStyle w:val="Heading3"/>
        <w:spacing w:after="110" w:before="220"/>
      </w:pPr>
      <w:r>
        <w:rPr>
          <w:rFonts w:ascii="Calibri" w:cs="Calibri" w:eastAsia="Calibri" w:hAnsi="Calibri"/>
          <w:b/>
          <w:bCs/>
          <w:color w:val="C8553D"/>
          <w:sz w:val="26"/>
          <w:szCs w:val="26"/>
        </w:rPr>
        <w:t xml:space="preserve">Versioning</w:t>
      </w:r>
    </w:p>
    <w:p>
      <w:pPr>
        <w:pStyle w:val="ListParagraph"/>
        <w:numPr>
          <w:ilvl w:val="0"/>
          <w:numId w:val="2"/>
        </w:numPr>
        <w:spacing w:after="40" w:before="40" w:line="300"/>
      </w:pPr>
      <w:r>
        <w:rPr>
          <w:rFonts w:ascii="Calibri" w:cs="Calibri" w:eastAsia="Calibri" w:hAnsi="Calibri"/>
          <w:b/>
          <w:bCs/>
          <w:sz w:val="22"/>
          <w:szCs w:val="22"/>
        </w:rPr>
        <w:t xml:space="preserve">Major version (1.0 → 2.0). </w:t>
      </w:r>
      <w:r>
        <w:rPr>
          <w:rFonts w:ascii="Calibri" w:cs="Calibri" w:eastAsia="Calibri" w:hAnsi="Calibri"/>
          <w:sz w:val="22"/>
          <w:szCs w:val="22"/>
        </w:rPr>
        <w:t xml:space="preserve">Breaking change. New axis, removed axis, or significant redefinition that requires re-classifying most or all past content.</w:t>
      </w:r>
    </w:p>
    <w:p>
      <w:pPr>
        <w:pStyle w:val="ListParagraph"/>
        <w:numPr>
          <w:ilvl w:val="0"/>
          <w:numId w:val="2"/>
        </w:numPr>
        <w:spacing w:after="40" w:before="40" w:line="300"/>
      </w:pPr>
      <w:r>
        <w:rPr>
          <w:rFonts w:ascii="Calibri" w:cs="Calibri" w:eastAsia="Calibri" w:hAnsi="Calibri"/>
          <w:b/>
          <w:bCs/>
          <w:sz w:val="22"/>
          <w:szCs w:val="22"/>
        </w:rPr>
        <w:t xml:space="preserve">Minor version (1.0 → 1.1). </w:t>
      </w:r>
      <w:r>
        <w:rPr>
          <w:rFonts w:ascii="Calibri" w:cs="Calibri" w:eastAsia="Calibri" w:hAnsi="Calibri"/>
          <w:sz w:val="22"/>
          <w:szCs w:val="22"/>
        </w:rPr>
        <w:t xml:space="preserve">Additive change. New tag, refined definition, deprecated tag. Past content typically not re-classified.</w:t>
      </w:r>
    </w:p>
    <w:p>
      <w:pPr>
        <w:spacing w:after="60" w:before="60" w:line="320"/>
      </w:pPr>
      <w:r>
        <w:rPr>
          <w:rFonts w:ascii="Calibri" w:cs="Calibri" w:eastAsia="Calibri" w:hAnsi="Calibri"/>
          <w:sz w:val="22"/>
          <w:szCs w:val="22"/>
        </w:rPr>
        <w:t xml:space="preserve">The current taxonomy version is stamped on every classification row in the database. This allows the team to reproduce historical state and to identify content that needs re-classification when the taxonomy advances.</w:t>
      </w:r>
    </w:p>
    <w:p>
      <w:pPr>
        <w:pStyle w:val="Heading3"/>
        <w:spacing w:after="110" w:before="220"/>
      </w:pPr>
      <w:r>
        <w:rPr>
          <w:rFonts w:ascii="Calibri" w:cs="Calibri" w:eastAsia="Calibri" w:hAnsi="Calibri"/>
          <w:b/>
          <w:bCs/>
          <w:color w:val="C8553D"/>
          <w:sz w:val="26"/>
          <w:szCs w:val="26"/>
        </w:rPr>
        <w:t xml:space="preserve">The disputes log</w:t>
      </w:r>
    </w:p>
    <w:p>
      <w:pPr>
        <w:spacing w:after="60" w:before="60" w:line="320"/>
      </w:pPr>
      <w:r>
        <w:rPr>
          <w:rFonts w:ascii="Calibri" w:cs="Calibri" w:eastAsia="Calibri" w:hAnsi="Calibri"/>
          <w:sz w:val="22"/>
          <w:szCs w:val="22"/>
        </w:rPr>
        <w:t xml:space="preserve">When a real content item does not resolve cleanly via this document, the tagger logs it in docs/taxonomy-disputes.md. Each entry contains:</w:t>
      </w:r>
    </w:p>
    <w:p>
      <w:pPr>
        <w:pStyle w:val="ListParagraph"/>
        <w:numPr>
          <w:ilvl w:val="0"/>
          <w:numId w:val="2"/>
        </w:numPr>
        <w:spacing w:after="40" w:before="40" w:line="300"/>
      </w:pPr>
      <w:r>
        <w:rPr>
          <w:rFonts w:ascii="Calibri" w:cs="Calibri" w:eastAsia="Calibri" w:hAnsi="Calibri"/>
          <w:sz w:val="22"/>
          <w:szCs w:val="22"/>
        </w:rPr>
        <w:t xml:space="preserve">The URL of the content item.</w:t>
      </w:r>
    </w:p>
    <w:p>
      <w:pPr>
        <w:pStyle w:val="ListParagraph"/>
        <w:numPr>
          <w:ilvl w:val="0"/>
          <w:numId w:val="2"/>
        </w:numPr>
        <w:spacing w:after="40" w:before="40" w:line="300"/>
      </w:pPr>
      <w:r>
        <w:rPr>
          <w:rFonts w:ascii="Calibri" w:cs="Calibri" w:eastAsia="Calibri" w:hAnsi="Calibri"/>
          <w:sz w:val="22"/>
          <w:szCs w:val="22"/>
        </w:rPr>
        <w:t xml:space="preserve">The competing classifications under consideration.</w:t>
      </w:r>
    </w:p>
    <w:p>
      <w:pPr>
        <w:pStyle w:val="ListParagraph"/>
        <w:numPr>
          <w:ilvl w:val="0"/>
          <w:numId w:val="2"/>
        </w:numPr>
        <w:spacing w:after="40" w:before="40" w:line="300"/>
      </w:pPr>
      <w:r>
        <w:rPr>
          <w:rFonts w:ascii="Calibri" w:cs="Calibri" w:eastAsia="Calibri" w:hAnsi="Calibri"/>
          <w:sz w:val="22"/>
          <w:szCs w:val="22"/>
        </w:rPr>
        <w:t xml:space="preserve">Why this document is unclear on the case.</w:t>
      </w:r>
    </w:p>
    <w:p>
      <w:pPr>
        <w:pStyle w:val="ListParagraph"/>
        <w:numPr>
          <w:ilvl w:val="0"/>
          <w:numId w:val="2"/>
        </w:numPr>
        <w:spacing w:after="40" w:before="40" w:line="300"/>
      </w:pPr>
      <w:r>
        <w:rPr>
          <w:rFonts w:ascii="Calibri" w:cs="Calibri" w:eastAsia="Calibri" w:hAnsi="Calibri"/>
          <w:sz w:val="22"/>
          <w:szCs w:val="22"/>
        </w:rPr>
        <w:t xml:space="preserve">A proposed rule update.</w:t>
      </w:r>
    </w:p>
    <w:p>
      <w:pPr>
        <w:pStyle w:val="ListParagraph"/>
        <w:numPr>
          <w:ilvl w:val="0"/>
          <w:numId w:val="2"/>
        </w:numPr>
        <w:spacing w:after="40" w:before="40" w:line="300"/>
      </w:pPr>
      <w:r>
        <w:rPr>
          <w:rFonts w:ascii="Calibri" w:cs="Calibri" w:eastAsia="Calibri" w:hAnsi="Calibri"/>
          <w:sz w:val="22"/>
          <w:szCs w:val="22"/>
        </w:rPr>
        <w:t xml:space="preserve">The date logged and the tagger's name.</w:t>
      </w:r>
    </w:p>
    <w:p>
      <w:pPr>
        <w:spacing w:after="60" w:before="60" w:line="320"/>
      </w:pPr>
      <w:r>
        <w:rPr>
          <w:rFonts w:ascii="Calibri" w:cs="Calibri" w:eastAsia="Calibri" w:hAnsi="Calibri"/>
          <w:sz w:val="22"/>
          <w:szCs w:val="22"/>
        </w:rPr>
        <w:t xml:space="preserve">Disputes are reviewed every Friday in a fifteen-minute team meeting. The outcome is either a clarification of the document (no version bump), a refinement that triggers a minor version bump, or — rarely — a deferred decision pending more cases.</w:t>
      </w:r>
    </w:p>
    <w:p>
      <w:pPr>
        <w:pStyle w:val="Heading3"/>
        <w:spacing w:after="110" w:before="220"/>
      </w:pPr>
      <w:r>
        <w:rPr>
          <w:rFonts w:ascii="Calibri" w:cs="Calibri" w:eastAsia="Calibri" w:hAnsi="Calibri"/>
          <w:b/>
          <w:bCs/>
          <w:color w:val="C8553D"/>
          <w:sz w:val="26"/>
          <w:szCs w:val="26"/>
        </w:rPr>
        <w:t xml:space="preserve">Review cadence</w:t>
      </w:r>
    </w:p>
    <w:p>
      <w:pPr>
        <w:pStyle w:val="ListParagraph"/>
        <w:numPr>
          <w:ilvl w:val="0"/>
          <w:numId w:val="2"/>
        </w:numPr>
        <w:spacing w:after="40" w:before="40" w:line="300"/>
      </w:pPr>
      <w:r>
        <w:rPr>
          <w:rFonts w:ascii="Calibri" w:cs="Calibri" w:eastAsia="Calibri" w:hAnsi="Calibri"/>
          <w:b/>
          <w:bCs/>
          <w:sz w:val="22"/>
          <w:szCs w:val="22"/>
        </w:rPr>
        <w:t xml:space="preserve">Weekly. </w:t>
      </w:r>
      <w:r>
        <w:rPr>
          <w:rFonts w:ascii="Calibri" w:cs="Calibri" w:eastAsia="Calibri" w:hAnsi="Calibri"/>
          <w:sz w:val="22"/>
          <w:szCs w:val="22"/>
        </w:rPr>
        <w:t xml:space="preserve">Disputes log review. Fifteen minutes.</w:t>
      </w:r>
    </w:p>
    <w:p>
      <w:pPr>
        <w:pStyle w:val="ListParagraph"/>
        <w:numPr>
          <w:ilvl w:val="0"/>
          <w:numId w:val="2"/>
        </w:numPr>
        <w:spacing w:after="40" w:before="40" w:line="300"/>
      </w:pPr>
      <w:r>
        <w:rPr>
          <w:rFonts w:ascii="Calibri" w:cs="Calibri" w:eastAsia="Calibri" w:hAnsi="Calibri"/>
          <w:b/>
          <w:bCs/>
          <w:sz w:val="22"/>
          <w:szCs w:val="22"/>
        </w:rPr>
        <w:t xml:space="preserve">Monthly. </w:t>
      </w:r>
      <w:r>
        <w:rPr>
          <w:rFonts w:ascii="Calibri" w:cs="Calibri" w:eastAsia="Calibri" w:hAnsi="Calibri"/>
          <w:sz w:val="22"/>
          <w:szCs w:val="22"/>
        </w:rPr>
        <w:t xml:space="preserve">Sampled classification audit: take 30 random classified items, hand-check them, surface drift.</w:t>
      </w:r>
    </w:p>
    <w:p>
      <w:pPr>
        <w:pStyle w:val="ListParagraph"/>
        <w:numPr>
          <w:ilvl w:val="0"/>
          <w:numId w:val="2"/>
        </w:numPr>
        <w:spacing w:after="40" w:before="40" w:line="300"/>
      </w:pPr>
      <w:r>
        <w:rPr>
          <w:rFonts w:ascii="Calibri" w:cs="Calibri" w:eastAsia="Calibri" w:hAnsi="Calibri"/>
          <w:b/>
          <w:bCs/>
          <w:sz w:val="22"/>
          <w:szCs w:val="22"/>
        </w:rPr>
        <w:t xml:space="preserve">Quarterly. </w:t>
      </w:r>
      <w:r>
        <w:rPr>
          <w:rFonts w:ascii="Calibri" w:cs="Calibri" w:eastAsia="Calibri" w:hAnsi="Calibri"/>
          <w:sz w:val="22"/>
          <w:szCs w:val="22"/>
        </w:rPr>
        <w:t xml:space="preserve">Taxonomy version review: incorporate refinements, deprecate underused tags, propose new axes if needed.</w:t>
      </w:r>
    </w:p>
    <w:p>
      <w:pPr>
        <w:pStyle w:val="ListParagraph"/>
        <w:numPr>
          <w:ilvl w:val="0"/>
          <w:numId w:val="2"/>
        </w:numPr>
        <w:spacing w:after="40" w:before="40" w:line="300"/>
      </w:pPr>
      <w:r>
        <w:rPr>
          <w:rFonts w:ascii="Calibri" w:cs="Calibri" w:eastAsia="Calibri" w:hAnsi="Calibri"/>
          <w:b/>
          <w:bCs/>
          <w:sz w:val="22"/>
          <w:szCs w:val="22"/>
        </w:rPr>
        <w:t xml:space="preserve">Annually. </w:t>
      </w:r>
      <w:r>
        <w:rPr>
          <w:rFonts w:ascii="Calibri" w:cs="Calibri" w:eastAsia="Calibri" w:hAnsi="Calibri"/>
          <w:sz w:val="22"/>
          <w:szCs w:val="22"/>
        </w:rPr>
        <w:t xml:space="preserve">Full taxonomy retrospective with external researcher input.</w:t>
      </w:r>
    </w:p>
    <w:p>
      <w:pPr>
        <w:pStyle w:val="Heading3"/>
        <w:spacing w:after="110" w:before="220"/>
      </w:pPr>
      <w:r>
        <w:rPr>
          <w:rFonts w:ascii="Calibri" w:cs="Calibri" w:eastAsia="Calibri" w:hAnsi="Calibri"/>
          <w:b/>
          <w:bCs/>
          <w:color w:val="C8553D"/>
          <w:sz w:val="26"/>
          <w:szCs w:val="26"/>
        </w:rPr>
        <w:t xml:space="preserve">Roles</w:t>
      </w:r>
    </w:p>
    <w:p>
      <w:pPr>
        <w:pStyle w:val="ListParagraph"/>
        <w:numPr>
          <w:ilvl w:val="0"/>
          <w:numId w:val="2"/>
        </w:numPr>
        <w:spacing w:after="40" w:before="40" w:line="300"/>
      </w:pPr>
      <w:r>
        <w:rPr>
          <w:rFonts w:ascii="Calibri" w:cs="Calibri" w:eastAsia="Calibri" w:hAnsi="Calibri"/>
          <w:b/>
          <w:bCs/>
          <w:sz w:val="22"/>
          <w:szCs w:val="22"/>
        </w:rPr>
        <w:t xml:space="preserve">Taxonomy owner. </w:t>
      </w:r>
      <w:r>
        <w:rPr>
          <w:rFonts w:ascii="Calibri" w:cs="Calibri" w:eastAsia="Calibri" w:hAnsi="Calibri"/>
          <w:sz w:val="22"/>
          <w:szCs w:val="22"/>
        </w:rPr>
        <w:t xml:space="preserve">One named person on the team. Owns this document. Approves all version bumps. Settles disputes that the weekly review cannot resolve.</w:t>
      </w:r>
    </w:p>
    <w:p>
      <w:pPr>
        <w:pStyle w:val="ListParagraph"/>
        <w:numPr>
          <w:ilvl w:val="0"/>
          <w:numId w:val="2"/>
        </w:numPr>
        <w:spacing w:after="40" w:before="40" w:line="300"/>
      </w:pPr>
      <w:r>
        <w:rPr>
          <w:rFonts w:ascii="Calibri" w:cs="Calibri" w:eastAsia="Calibri" w:hAnsi="Calibri"/>
          <w:b/>
          <w:bCs/>
          <w:sz w:val="22"/>
          <w:szCs w:val="22"/>
        </w:rPr>
        <w:t xml:space="preserve">Classifier curator. </w:t>
      </w:r>
      <w:r>
        <w:rPr>
          <w:rFonts w:ascii="Calibri" w:cs="Calibri" w:eastAsia="Calibri" w:hAnsi="Calibri"/>
          <w:sz w:val="22"/>
          <w:szCs w:val="22"/>
        </w:rPr>
        <w:t xml:space="preserve">One named person who owns the classifier prompt and its alignment with this document. Reviews sampled classifications monthly.</w:t>
      </w:r>
    </w:p>
    <w:p>
      <w:pPr>
        <w:pStyle w:val="ListParagraph"/>
        <w:numPr>
          <w:ilvl w:val="0"/>
          <w:numId w:val="2"/>
        </w:numPr>
        <w:spacing w:after="40" w:before="40" w:line="300"/>
      </w:pPr>
      <w:r>
        <w:rPr>
          <w:rFonts w:ascii="Calibri" w:cs="Calibri" w:eastAsia="Calibri" w:hAnsi="Calibri"/>
          <w:b/>
          <w:bCs/>
          <w:sz w:val="22"/>
          <w:szCs w:val="22"/>
        </w:rPr>
        <w:t xml:space="preserve">Reviewers. </w:t>
      </w:r>
      <w:r>
        <w:rPr>
          <w:rFonts w:ascii="Calibri" w:cs="Calibri" w:eastAsia="Calibri" w:hAnsi="Calibri"/>
          <w:sz w:val="22"/>
          <w:szCs w:val="22"/>
        </w:rPr>
        <w:t xml:space="preserve">Anyone on the team can log a dispute. Any two team members can sign off on a minor version bump.</w:t>
      </w:r>
    </w:p>
    <w:p>
      <w:pPr>
        <w:pStyle w:val="Heading3"/>
        <w:spacing w:after="110" w:before="220"/>
      </w:pPr>
      <w:r>
        <w:rPr>
          <w:rFonts w:ascii="Calibri" w:cs="Calibri" w:eastAsia="Calibri" w:hAnsi="Calibri"/>
          <w:b/>
          <w:bCs/>
          <w:color w:val="C8553D"/>
          <w:sz w:val="26"/>
          <w:szCs w:val="26"/>
        </w:rPr>
        <w:t xml:space="preserve">Final principle</w:t>
      </w:r>
    </w:p>
    <w:p>
      <w:pPr>
        <w:pBdr>
          <w:left w:val="single" w:color="C8553D" w:sz="18" w:space="8"/>
        </w:pBdr>
        <w:spacing w:after="140" w:before="140" w:line="320"/>
        <w:ind w:left="360"/>
      </w:pPr>
      <w:r>
        <w:rPr>
          <w:rFonts w:ascii="Calibri" w:cs="Calibri" w:eastAsia="Calibri" w:hAnsi="Calibri"/>
          <w:i/>
          <w:iCs/>
          <w:color w:val="2E4057"/>
          <w:sz w:val="22"/>
          <w:szCs w:val="22"/>
        </w:rPr>
        <w:t xml:space="preserve">Definitions are decisions, not discoveries. The team chooses the meaning of each tag. Anyone arguing about what a tag should "really" mean misses the point — pick the definition, write it down, move on. The document is the law. Future disagreements get resolved by reading the document, not by re-debating. If the document is silent on a case, the document gets updated rather than bypassed.</w:t>
      </w:r>
    </w:p>
    <w:p>
      <w:pPr>
        <w:pStyle w:val="Heading1"/>
        <w:spacing w:after="180" w:before="360"/>
      </w:pPr>
      <w:r>
        <w:rPr>
          <w:rFonts w:ascii="Calibri" w:cs="Calibri" w:eastAsia="Calibri" w:hAnsi="Calibri"/>
          <w:b/>
          <w:bCs/>
          <w:color w:val="2E4057"/>
          <w:sz w:val="36"/>
          <w:szCs w:val="36"/>
        </w:rPr>
        <w:t xml:space="preserve">Closing</w:t>
      </w:r>
    </w:p>
    <w:p>
      <w:pPr>
        <w:spacing w:after="60" w:before="60" w:line="320"/>
      </w:pPr>
      <w:r>
        <w:rPr>
          <w:rFonts w:ascii="Calibri" w:cs="Calibri" w:eastAsia="Calibri" w:hAnsi="Calibri"/>
          <w:sz w:val="22"/>
          <w:szCs w:val="22"/>
        </w:rPr>
        <w:t xml:space="preserve">This document defines the taxonomy that the Kumbh Monitor archive runs on. Every classification, every dashboard filter, every research query, every dashboard view will trace back to the rules and tags described here. The taxonomy is the contract between the messy world of news and the precise world of structured queries. Maintaining it is the most important ongoing discipline of the project.</w:t>
      </w:r>
    </w:p>
    <w:p>
      <w:pPr>
        <w:spacing w:after="60" w:before="60" w:line="320"/>
      </w:pPr>
      <w:r>
        <w:rPr>
          <w:rFonts w:ascii="Calibri" w:cs="Calibri" w:eastAsia="Calibri" w:hAnsi="Calibri"/>
          <w:sz w:val="22"/>
          <w:szCs w:val="22"/>
        </w:rPr>
        <w:t xml:space="preserve">Subsequent documents in this series cover (a) the data model — the database tables that store these tags; (b) the collection methodology — how content is scraped, ingested, and routed to the classifier; (c) the classifier specification — how the language model applies the taxonomy in practice; and (d) the dashboard specification — how the front-end surfaces the resulting data to four different audiences.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C757D"/>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C757D"/>
        <w:sz w:val="18"/>
        <w:szCs w:val="18"/>
      </w:rPr>
      <w:t xml:space="preserve">Kumbh Monitor — Taxonomy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2E4057"/>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2E4057"/>
      <w:sz w:val="30"/>
      <w:szCs w:val="30"/>
    </w:rPr>
  </w:style>
  <w:style w:type="paragraph" w:styleId="Heading3">
    <w:name w:val="Heading 3"/>
    <w:basedOn w:val="Normal"/>
    <w:next w:val="Normal"/>
    <w:qFormat/>
    <w:pPr>
      <w:spacing w:after="110" w:before="220"/>
      <w:outlineLvl w:val="2"/>
    </w:pPr>
    <w:rPr>
      <w:rFonts w:ascii="Calibri" w:cs="Calibri" w:eastAsia="Calibri" w:hAnsi="Calibri"/>
      <w:b/>
      <w:bCs/>
      <w:color w:val="C8553D"/>
      <w:sz w:val="26"/>
      <w:szCs w:val="26"/>
    </w:rPr>
  </w:style>
  <w:style w:type="paragraph" w:styleId="Heading4">
    <w:name w:val="Heading 4"/>
    <w:basedOn w:val="Normal"/>
    <w:next w:val="Normal"/>
    <w:qFormat/>
    <w:pPr>
      <w:spacing w:after="90" w:before="180"/>
      <w:outlineLvl w:val="3"/>
    </w:pPr>
    <w:rPr>
      <w:rFonts w:ascii="Calibri" w:cs="Calibri" w:eastAsia="Calibri" w:hAnsi="Calibri"/>
      <w:b/>
      <w:bCs/>
      <w:color w:val="2E40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2026-05-22T13:16:14.505Z</dcterms:created>
  <dcterms:modified xsi:type="dcterms:W3CDTF">2026-05-22T13:16:14.521Z</dcterms:modified>
</cp:coreProperties>
</file>

<file path=docProps/custom.xml><?xml version="1.0" encoding="utf-8"?>
<Properties xmlns="http://schemas.openxmlformats.org/officeDocument/2006/custom-properties" xmlns:vt="http://schemas.openxmlformats.org/officeDocument/2006/docPropsVTypes"/>
</file>