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study and Implement Security as a Service on AWS / Azure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Theory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business model called SECaaS, or Security as a Service, offers security to IT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companies on a subscription basis. A superior security platform is provided by the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outsourced approach, which lowers the total cost of ownership than the business could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supply on its own. With the use of cloud computing, security for the company is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by an outside party. For the necessary computational and storage resources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their websites and apps, many enterprises rely on security services.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SECaaS is impressed by the “Security as a Service (SaaS)” model as applied to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security kind services and doesn’t need on-premises hardware, avoiding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substantial capital outlays. These security services typically embody authentication,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antivirus, anti-malware/spyware, intrusion detection detection, penetration testing and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event management, among others.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groups are fundamental to network security in AWS. They control how traffic is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allowed into or out of our EC2 machine.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Examples of SECaaS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Every danger is continuously monitored on a regular basis by SECaaS.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Cyber security is handled by security analysts.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Threat intelligence reacts right away to any malfunctions that compromise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security.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To minimize the impact on the system, sophisticated techniques identify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infection.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The automations respond to spam and viruses automatically and eliminate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SECaaS as Service Provider: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security platform is perfect, since they all have a number of weaknesses. Nothing provides services that are in line with our demands. Lack of complete control over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security alternatives, susceptibility to shared technology, data breach, poor architecture,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resource allocation, and many other issues may be problems associated with the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outsourcing approach.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Selecting efficient SECaaS suppliers is crucial to addressing these ongoing difficulties.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Partnering with the right SECaaS requires experience and produces optimum production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with a better profit.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Focus on the following while choosing a provider 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1.    It should be assured that the security team is available to respond to any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system-related issues and inquiries.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2.     To be able to respond to any potential threats, the provided solution must be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adaptable.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3.   It needs to be strong.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4.   Following an investigation into the security issues, service suppliers must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propose an exact resolution.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5.   Endpoint and workload protection given through the cloud should be offered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by IT providers.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6.   Cloud security should be addressed by vendors.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SECaaS vendors work with organizations to develop security measures, verify acceptable frameworks and review financial commitments.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Benefits of SECaaS: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organization’s resources are constantly provided with greater security.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Offers the latest version of antivirus software that is compatible with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cutting-edge technologies.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a reasonable cost, the company may hire qualified security personnel. To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secure the company’s data, they will provide the finest service possible.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IT team’s ability to administer and monitor security procedures inside the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firm is facilitated by the use of a web interface or having access to a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management dashboard, both of which need greater security expertise.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accesses data without a valid business reason, it may be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determined that they are doing so.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web interface that allows internal management of various activities as well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as a view of the protective configuration and ongoing actions.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Faster delivery of security services.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economical. Since no new hardware or security license renewals are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required. Instead, it may be upgraded or replaced with a newer model as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required at a reduced cost.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Implementation: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749.5275590551165" w:hanging="708.66141732283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749.5275590551165" w:hanging="708.66141732283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749.5275590551165" w:hanging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749.5275590551165" w:hanging="708.66141732283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749.5275590551165" w:hanging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749.5275590551165" w:hanging="708.66141732283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749.5275590551165" w:hanging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749.5275590551165" w:hanging="708.66141732283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-749.5275590551165" w:hanging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749.5275590551165" w:hanging="708.66141732283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-749.5275590551165" w:hanging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749.5275590551165" w:hanging="708.66141732283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Conclusion: 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way, we can create and use SECaaS.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