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Infrastructure Reliability and Security Audit</w:t>
      </w:r>
    </w:p>
    <w:p>
      <w:r>
        <w:t>This report summarizes the operational health, security posture, and infrastructure changes for Q2 2026 across all global regions.</w:t>
      </w:r>
    </w:p>
    <w:p>
      <w:pPr>
        <w:pStyle w:val="Heading2"/>
      </w:pPr>
      <w:r>
        <w:t>Key Metrics and Accomplishments</w:t>
      </w:r>
    </w:p>
    <w:p>
      <w:r>
        <w:t>Overall service availability was maintained at 99.985%, exceeding our quarterly SLA target of 99.95%. Three major security vulnerabilities were remediated: CVE-2026-31184 (critical remote code execution in ingress gateway), CVE-2026-29910 (moderate denial-of-service in cache daemon), and CVE-2026-18823 (credential leakage in test runner).</w:t>
      </w:r>
    </w:p>
    <w:p>
      <w:pPr>
        <w:pStyle w:val="Heading2"/>
      </w:pPr>
      <w:r>
        <w:t>Regional Cluster Availability</w:t>
      </w:r>
    </w:p>
    <w:tbl>
      <w:tr>
        <w:tc>
          <w:p>
            <w:r>
              <w:t>Region</w:t>
            </w:r>
          </w:p>
        </w:tc>
        <w:tc>
          <w:p>
            <w:r>
              <w:t>Cluster ID</w:t>
            </w:r>
          </w:p>
        </w:tc>
        <w:tc>
          <w:p>
            <w:r>
              <w:t>Uptime</w:t>
            </w:r>
          </w:p>
        </w:tc>
        <w:tc>
          <w:p>
            <w:r>
              <w:t>P99 Latency</w:t>
            </w:r>
          </w:p>
        </w:tc>
      </w:tr>
      <w:tr>
        <w:tc>
          <w:p>
            <w:r>
              <w:t>us-east-1</w:t>
            </w:r>
          </w:p>
        </w:tc>
        <w:tc>
          <w:p>
            <w:r>
              <w:t>k8s-prod-useast1-01</w:t>
            </w:r>
          </w:p>
        </w:tc>
        <w:tc>
          <w:p>
            <w:r>
              <w:t>99.992%</w:t>
            </w:r>
          </w:p>
        </w:tc>
        <w:tc>
          <w:p>
            <w:r>
              <w:t>38 ms</w:t>
            </w:r>
          </w:p>
        </w:tc>
      </w:tr>
      <w:tr>
        <w:tc>
          <w:p>
            <w:r>
              <w:t>eu-west-1</w:t>
            </w:r>
          </w:p>
        </w:tc>
        <w:tc>
          <w:p>
            <w:r>
              <w:t>k8s-prod-euwest1-01</w:t>
            </w:r>
          </w:p>
        </w:tc>
        <w:tc>
          <w:p>
            <w:r>
              <w:t>99.978%</w:t>
            </w:r>
          </w:p>
        </w:tc>
        <w:tc>
          <w:p>
            <w:r>
              <w:t>44 ms</w:t>
            </w:r>
          </w:p>
        </w:tc>
      </w:tr>
      <w:tr>
        <w:tc>
          <w:p>
            <w:r>
              <w:t>ap-southeast-1</w:t>
            </w:r>
          </w:p>
        </w:tc>
        <w:tc>
          <w:p>
            <w:r>
              <w:t>k8s-prod-apse1-01</w:t>
            </w:r>
          </w:p>
        </w:tc>
        <w:tc>
          <w:p>
            <w:r>
              <w:t>99.989%</w:t>
            </w:r>
          </w:p>
        </w:tc>
        <w:tc>
          <w:p>
            <w:r>
              <w:t>52 ms</w:t>
            </w:r>
          </w:p>
        </w:tc>
      </w:tr>
    </w:tbl>
    <w:p>
      <w:r>
        <w:t>Next quarter priorities include completing the migration to Kubernetes 1.31 and rolling out automated canary deployments across all tier-1 services.</w:t>
      </w:r>
    </w:p>
  </w:body>
</w:document>
</file>