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/>
        <w:jc w:val="center"/>
      </w:pPr>
      <w:r>
        <w:rPr>
          <w:rFonts w:ascii="Arial" w:hAnsi="Arial"/>
          <w:b/>
          <w:color w:val="1A56DB"/>
          <w:sz w:val="20"/>
        </w:rPr>
        <w:t>PRODUCT REQUIREMENTS DOCUMENT</w:t>
      </w:r>
    </w:p>
    <w:p>
      <w:pPr>
        <w:spacing w:after="120"/>
        <w:jc w:val="center"/>
      </w:pPr>
      <w:r>
        <w:rPr>
          <w:rFonts w:ascii="Arial" w:hAnsi="Arial"/>
          <w:b/>
          <w:color w:val="111928"/>
          <w:sz w:val="72"/>
        </w:rPr>
        <w:t>SysDesign Arena</w:t>
      </w:r>
    </w:p>
    <w:p>
      <w:pPr>
        <w:spacing w:after="480"/>
        <w:jc w:val="center"/>
      </w:pPr>
      <w:r>
        <w:rPr>
          <w:rFonts w:ascii="Arial" w:hAnsi="Arial"/>
          <w:color w:val="6B7280"/>
          <w:sz w:val="28"/>
        </w:rPr>
        <w:t>Interactive System Design Learning Platform</w:t>
      </w:r>
    </w:p>
    <w:p>
      <w:pPr>
        <w:spacing w:after="480"/>
        <w:jc w:val="center"/>
        <w:pBdr>
          <w:bottom w:val="single" w:sz="8" w:space="6" w:color="1A56DB"/>
        </w:pBdr>
      </w:pPr>
    </w:p>
    <w:p>
      <w:pPr>
        <w:spacing w:after="720"/>
        <w:jc w:val="center"/>
      </w:pPr>
      <w:r>
        <w:rPr>
          <w:rFonts w:ascii="Arial" w:hAnsi="Arial"/>
          <w:i/>
          <w:color w:val="374151"/>
          <w:sz w:val="24"/>
        </w:rPr>
        <w:t>The n8n-style drag-and-drop canvas for mastering system design interviews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EBF5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Version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1.0 — Pro Edition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Status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Draft — For Review</w:t>
            </w:r>
          </w:p>
        </w:tc>
      </w:tr>
      <w:tr>
        <w:tc>
          <w:tcPr>
            <w:tcW w:type="dxa" w:w="3168"/>
            <w:shd w:fill="EBF5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Author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Product Team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Date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June 03, 2026</w:t>
            </w:r>
          </w:p>
        </w:tc>
      </w:tr>
      <w:tr>
        <w:tc>
          <w:tcPr>
            <w:tcW w:type="dxa" w:w="3168"/>
            <w:shd w:fill="EBF5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Target Audience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Engineering Students, FAANG Aspirants, CS Graduates</w:t>
            </w:r>
          </w:p>
        </w:tc>
      </w:tr>
    </w:tbl>
    <w:p/>
    <w:p/>
    <w:p/>
    <w:p/>
    <w:p>
      <w:pPr>
        <w:jc w:val="center"/>
      </w:pPr>
      <w:r>
        <w:rPr>
          <w:rFonts w:ascii="Arial" w:hAnsi="Arial"/>
          <w:color w:val="6B7280"/>
          <w:sz w:val="18"/>
        </w:rPr>
        <w:t>CONFIDENTIAL</w:t>
      </w:r>
    </w:p>
    <w:p>
      <w:r>
        <w:br w:type="page"/>
      </w:r>
    </w:p>
    <w:p>
      <w:pPr>
        <w:keepNext/>
        <w:spacing w:before="480" w:after="200"/>
        <w:pBdr>
          <w:bottom w:val="single" w:sz="8" w:space="6" w:color="1A56DB"/>
        </w:pBdr>
      </w:pPr>
      <w:r>
        <w:rPr>
          <w:rFonts w:ascii="Arial" w:hAnsi="Arial"/>
          <w:b/>
          <w:color w:val="111928"/>
          <w:sz w:val="36"/>
        </w:rPr>
        <w:t>1. Executive Summary</w:t>
      </w:r>
    </w:p>
    <w:p>
      <w:pPr>
        <w:spacing w:before="80" w:after="120"/>
        <w:jc w:val="both"/>
      </w:pPr>
      <w:r>
        <w:rPr>
          <w:rFonts w:ascii="Arial" w:hAnsi="Arial"/>
          <w:color w:val="374151"/>
          <w:sz w:val="22"/>
        </w:rPr>
        <w:t>SysDesign Arena is a web-based, interactive learning platform that teaches system design through hands-on practice. Inspired by the workflow canvas of tools like n8n and the problem-set model of LeetCode, it gives candidates a drag-and-drop canvas populated with real system design building blocks — load balancers, CDNs, databases, queues, and more — and challenges them to assemble working architectures for real-world problems.</w:t>
      </w:r>
    </w:p>
    <w:p>
      <w:pPr>
        <w:spacing w:before="80" w:after="120"/>
        <w:jc w:val="both"/>
      </w:pPr>
      <w:r>
        <w:rPr>
          <w:rFonts w:ascii="Arial" w:hAnsi="Arial"/>
          <w:color w:val="374151"/>
          <w:sz w:val="22"/>
        </w:rPr>
        <w:t>The platform targets engineering students, fresh graduates, and professionals preparing for system design interviews at FAANG, MAANG, and product-based companies. The core insight is that system design is best learned by doing — not by reading blog posts or watching videos — and that immediate, structured AI-powered feedback accelerates learning faster than any textbook.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left w:val="single" w:sz="36" w:space="0" w:color="1A56DB"/>
              <w:top w:val="none"/>
              <w:bottom w:val="none"/>
              <w:right w:val="none"/>
            </w:tcBorders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56DB"/>
                <w:sz w:val="21"/>
              </w:rPr>
              <w:t xml:space="preserve">[VISION] </w:t>
            </w:r>
            <w:r>
              <w:rPr>
                <w:rFonts w:ascii="Arial" w:hAnsi="Arial"/>
                <w:color w:val="111928"/>
                <w:sz w:val="21"/>
              </w:rPr>
              <w:t>Every software engineer should be able to design scalable systems with confidence. SysDesign Arena is the arena where that confidence is built — one architecture at a time.</w:t>
            </w:r>
          </w:p>
        </w:tc>
      </w:tr>
    </w:tbl>
    <w:p>
      <w:pPr>
        <w:keepNext/>
        <w:spacing w:before="480" w:after="200"/>
        <w:pBdr>
          <w:bottom w:val="single" w:sz="8" w:space="6" w:color="1A56DB"/>
        </w:pBdr>
      </w:pPr>
      <w:r>
        <w:rPr>
          <w:rFonts w:ascii="Arial" w:hAnsi="Arial"/>
          <w:b/>
          <w:color w:val="111928"/>
          <w:sz w:val="36"/>
        </w:rPr>
        <w:t>2. Problem Statement</w:t>
      </w:r>
    </w:p>
    <w:p>
      <w:pPr>
        <w:spacing w:before="80" w:after="120"/>
        <w:jc w:val="both"/>
      </w:pPr>
      <w:r>
        <w:rPr>
          <w:rFonts w:ascii="Arial" w:hAnsi="Arial"/>
          <w:color w:val="374151"/>
          <w:sz w:val="22"/>
        </w:rPr>
        <w:t>System design is one of the hardest parts of senior engineering interviews — and one of the most poorly taught. Candidates face a significant preparation gap: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Existing resources (books, YouTube, blogs) are passive — there is no way to practice building an architecture hands-on.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Mock interviews are expensive, rare, and hard to schedule consistently.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Candidates do not receive structured, objective feedback on their design decisions.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The conceptual vocabulary of system design — sharding, replication, consistent hashing, CAP theorem — is learned in isolation rather than applied to real problems.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There is no platform that bridges the gap between understanding a concept and deploying it inside a real design.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Borders>
              <w:left w:val="single" w:sz="36" w:space="0" w:color="E3A008"/>
              <w:top w:val="none"/>
              <w:bottom w:val="none"/>
              <w:right w:val="none"/>
            </w:tcBorders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56DB"/>
                <w:sz w:val="21"/>
              </w:rPr>
              <w:t xml:space="preserve">[OPPORTUNITY] </w:t>
            </w:r>
            <w:r>
              <w:rPr>
                <w:rFonts w:ascii="Arial" w:hAnsi="Arial"/>
                <w:color w:val="111928"/>
                <w:sz w:val="21"/>
              </w:rPr>
              <w:t>The system design interview prep market is estimated at $800M+ globally. No existing platform offers an interactive, canvas-based practice environment with AI-driven evaluation.</w:t>
            </w:r>
          </w:p>
        </w:tc>
      </w:tr>
    </w:tbl>
    <w:p>
      <w:pPr>
        <w:keepNext/>
        <w:spacing w:before="480" w:after="200"/>
        <w:pBdr>
          <w:bottom w:val="single" w:sz="8" w:space="6" w:color="1A56DB"/>
        </w:pBdr>
      </w:pPr>
      <w:r>
        <w:rPr>
          <w:rFonts w:ascii="Arial" w:hAnsi="Arial"/>
          <w:b/>
          <w:color w:val="111928"/>
          <w:sz w:val="36"/>
        </w:rPr>
        <w:t>3. Product Overview</w:t>
      </w:r>
    </w:p>
    <w:p>
      <w:pPr>
        <w:spacing w:before="80" w:after="120"/>
        <w:jc w:val="both"/>
      </w:pPr>
      <w:r>
        <w:rPr>
          <w:rFonts w:ascii="Arial" w:hAnsi="Arial"/>
          <w:color w:val="374151"/>
          <w:sz w:val="22"/>
        </w:rPr>
        <w:t>SysDesign Arena is structured around three core experiences that mirror how a candidate would approach a real system design interview: understand the problem, build the solution, and receive expert feedback.</w:t>
      </w:r>
    </w:p>
    <w:p>
      <w:pPr>
        <w:keepNext/>
        <w:spacing w:before="360" w:after="160"/>
      </w:pPr>
      <w:r>
        <w:rPr>
          <w:rFonts w:ascii="Arial" w:hAnsi="Arial"/>
          <w:b/>
          <w:color w:val="1A56DB"/>
          <w:sz w:val="28"/>
        </w:rPr>
        <w:t>3.1 Problem Library</w:t>
      </w:r>
    </w:p>
    <w:p>
      <w:pPr>
        <w:spacing w:before="80" w:after="120"/>
        <w:jc w:val="both"/>
      </w:pPr>
      <w:r>
        <w:rPr>
          <w:rFonts w:ascii="Arial" w:hAnsi="Arial"/>
          <w:color w:val="374151"/>
          <w:sz w:val="22"/>
        </w:rPr>
        <w:t>A curated library of system design problems organized by difficulty and domain. Each problem is carefully written to mirror real interview questions at top companies, complete with realistic scale constraints.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fill="1A56D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Difficulty</w:t>
            </w:r>
          </w:p>
        </w:tc>
        <w:tc>
          <w:tcPr>
            <w:tcW w:type="dxa" w:w="4032"/>
            <w:shd w:fill="1A56D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Example Problems</w:t>
            </w:r>
          </w:p>
        </w:tc>
        <w:tc>
          <w:tcPr>
            <w:tcW w:type="dxa" w:w="2448"/>
            <w:shd w:fill="1A56D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Scale Constraints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11928"/>
                <w:sz w:val="20"/>
              </w:rPr>
              <w:t>Easy</w:t>
            </w:r>
          </w:p>
        </w:tc>
        <w:tc>
          <w:tcPr>
            <w:tcW w:type="dxa" w:w="403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74151"/>
                <w:sz w:val="20"/>
              </w:rPr>
              <w:t>URL Shortener, Pastebin, Rate Limiter</w:t>
            </w:r>
          </w:p>
        </w:tc>
        <w:tc>
          <w:tcPr>
            <w:tcW w:type="dxa" w:w="244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74151"/>
                <w:sz w:val="20"/>
              </w:rPr>
              <w:t>1–10M requests/day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11928"/>
                <w:sz w:val="20"/>
              </w:rPr>
              <w:t>Medium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74151"/>
                <w:sz w:val="20"/>
              </w:rPr>
              <w:t>Twitter Feed, Ride-Sharing, Notification System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74151"/>
                <w:sz w:val="20"/>
              </w:rPr>
              <w:t>100M–1B requests/day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11928"/>
                <w:sz w:val="20"/>
              </w:rPr>
              <w:t>Hard</w:t>
            </w:r>
          </w:p>
        </w:tc>
        <w:tc>
          <w:tcPr>
            <w:tcW w:type="dxa" w:w="403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74151"/>
                <w:sz w:val="20"/>
              </w:rPr>
              <w:t>YouTube, Google Drive, Distributed Cache, Uber Surge</w:t>
            </w:r>
          </w:p>
        </w:tc>
        <w:tc>
          <w:tcPr>
            <w:tcW w:type="dxa" w:w="244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74151"/>
                <w:sz w:val="20"/>
              </w:rPr>
              <w:t>1B+ requests/day, global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11928"/>
                <w:sz w:val="20"/>
              </w:rPr>
              <w:t>Expert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74151"/>
                <w:sz w:val="20"/>
              </w:rPr>
              <w:t>Ad Bidding Engine, Real-time Analytics, Global CDN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74151"/>
                <w:sz w:val="20"/>
              </w:rPr>
              <w:t>10B+ events/day, &lt;10ms P99</w:t>
            </w:r>
          </w:p>
        </w:tc>
      </w:tr>
    </w:tbl>
    <w:p>
      <w:pPr>
        <w:keepNext/>
        <w:spacing w:before="360" w:after="160"/>
      </w:pPr>
      <w:r>
        <w:rPr>
          <w:rFonts w:ascii="Arial" w:hAnsi="Arial"/>
          <w:b/>
          <w:color w:val="1A56DB"/>
          <w:sz w:val="28"/>
        </w:rPr>
        <w:t>3.2 Interactive Design Canvas</w:t>
      </w:r>
    </w:p>
    <w:p>
      <w:pPr>
        <w:spacing w:before="80" w:after="120"/>
        <w:jc w:val="both"/>
      </w:pPr>
      <w:r>
        <w:rPr>
          <w:rFonts w:ascii="Arial" w:hAnsi="Arial"/>
          <w:color w:val="374151"/>
          <w:sz w:val="22"/>
        </w:rPr>
        <w:t>The canvas is the heart of the product. Candidates drag system design nodes from a categorized palette onto a grid, connect them with typed edges, and configure each node's properties. The canvas understands the semantics of system design — it knows a Load Balancer sits in front of API servers, that a Cache should have a hit rate, and that a Message Queue needs both a producer and a consumer.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Dot-grid canvas with snap-to-grid for clean layout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Node palette organized by category: Ingress, Compute, Storage, Messaging, Observability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Typed connectors: synchronous (solid), asynchronous (dashed), read-only (dotted)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Per-node configuration panel: choose DB engine, replication mode, cache policy, region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Auto-layout mode for beginners who want suggested node placement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Export design as PNG, SVG, or shareable link</w:t>
      </w:r>
    </w:p>
    <w:p>
      <w:pPr>
        <w:keepNext/>
        <w:spacing w:before="360" w:after="160"/>
      </w:pPr>
      <w:r>
        <w:rPr>
          <w:rFonts w:ascii="Arial" w:hAnsi="Arial"/>
          <w:b/>
          <w:color w:val="1A56DB"/>
          <w:sz w:val="28"/>
        </w:rPr>
        <w:t>3.3 AI-Powered Evaluation Engine</w:t>
      </w:r>
    </w:p>
    <w:p>
      <w:pPr>
        <w:spacing w:before="80" w:after="120"/>
        <w:jc w:val="both"/>
      </w:pPr>
      <w:r>
        <w:rPr>
          <w:rFonts w:ascii="Arial" w:hAnsi="Arial"/>
          <w:color w:val="374151"/>
          <w:sz w:val="22"/>
        </w:rPr>
        <w:t>When a candidate submits their design, the evaluation engine analyzes the node graph and returns a structured scorecard across five dimensions. This is the core differentiator — no other platform provides instant, structured, expert-level feedback on a system design.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EBF5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Scalability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Does the design handle 10x traffic growth without re-architecting?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Availability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Are there single points of failure? Is there replication and failover?</w:t>
            </w:r>
          </w:p>
        </w:tc>
      </w:tr>
      <w:tr>
        <w:tc>
          <w:tcPr>
            <w:tcW w:type="dxa" w:w="3168"/>
            <w:shd w:fill="EBF5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Latency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Are read paths optimized? Is caching correctly placed?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Consistency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Is the data model appropriate for the CAP tradeoff required?</w:t>
            </w:r>
          </w:p>
        </w:tc>
      </w:tr>
      <w:tr>
        <w:tc>
          <w:tcPr>
            <w:tcW w:type="dxa" w:w="3168"/>
            <w:shd w:fill="EBF5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Cost Efficiency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Is the design over-engineered for the stated scale? Any redundancies?</w:t>
            </w:r>
          </w:p>
        </w:tc>
      </w:tr>
    </w:tbl>
    <w:p>
      <w:pPr>
        <w:keepNext/>
        <w:spacing w:before="480" w:after="200"/>
        <w:pBdr>
          <w:bottom w:val="single" w:sz="8" w:space="6" w:color="1A56DB"/>
        </w:pBdr>
      </w:pPr>
      <w:r>
        <w:rPr>
          <w:rFonts w:ascii="Arial" w:hAnsi="Arial"/>
          <w:b/>
          <w:color w:val="111928"/>
          <w:sz w:val="36"/>
        </w:rPr>
        <w:t>4. System Design Node Taxonomy</w:t>
      </w:r>
    </w:p>
    <w:p>
      <w:pPr>
        <w:spacing w:before="80" w:after="120"/>
        <w:jc w:val="both"/>
      </w:pPr>
      <w:r>
        <w:rPr>
          <w:rFonts w:ascii="Arial" w:hAnsi="Arial"/>
          <w:color w:val="374151"/>
          <w:sz w:val="22"/>
        </w:rPr>
        <w:t>The node library is the vocabulary of the platform. Each node represents a real infrastructure component and carries metadata that the evaluation engine uses during scoring. Nodes are grouped into six categories.</w:t>
      </w:r>
    </w:p>
    <w:p>
      <w:pPr>
        <w:keepNext/>
        <w:spacing w:before="360" w:after="160"/>
      </w:pPr>
      <w:r>
        <w:rPr>
          <w:rFonts w:ascii="Arial" w:hAnsi="Arial"/>
          <w:b/>
          <w:color w:val="1A56DB"/>
          <w:sz w:val="28"/>
        </w:rPr>
        <w:t>4.1 Ingress Layer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DNS / GeoDNS — Routes users to the nearest data center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CDN — Content Delivery Network for static assets and edge caching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API Gateway — Single entry point; handles auth, rate limiting, routing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Load Balancer — Layer 4 (TCP) or Layer 7 (HTTP) distribution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Rate Limiter — Token bucket, sliding window, or leaky bucket algorithm</w:t>
      </w:r>
    </w:p>
    <w:p>
      <w:pPr>
        <w:keepNext/>
        <w:spacing w:before="360" w:after="160"/>
      </w:pPr>
      <w:r>
        <w:rPr>
          <w:rFonts w:ascii="Arial" w:hAnsi="Arial"/>
          <w:b/>
          <w:color w:val="1A56DB"/>
          <w:sz w:val="28"/>
        </w:rPr>
        <w:t>4.2 Compute Layer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API Server — Stateless application server; configurable replica count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Microservice — Named service with defined responsibilities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Background Worker — Consumes from queues; configurable concurrency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Serverless Function — Event-driven compute for lightweight workloads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WebSocket Server — Persistent connections for real-time features</w:t>
      </w:r>
    </w:p>
    <w:p>
      <w:pPr>
        <w:keepNext/>
        <w:spacing w:before="360" w:after="160"/>
      </w:pPr>
      <w:r>
        <w:rPr>
          <w:rFonts w:ascii="Arial" w:hAnsi="Arial"/>
          <w:b/>
          <w:color w:val="1A56DB"/>
          <w:sz w:val="28"/>
        </w:rPr>
        <w:t>4.3 Storage Layer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Relational Database — PostgreSQL / MySQL with configurable replication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Document Store — MongoDB / Firestore for semi-structured data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Key-Value Store — Redis / DynamoDB for simple lookups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Time-Series DB — InfluxDB / TimescaleDB for metrics and events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Search Index — Elasticsearch for full-text and faceted search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Object Store — S3-compatible for blobs, media, backups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Data Warehouse — Snowflake / BigQuery for analytics workloads</w:t>
      </w:r>
    </w:p>
    <w:p>
      <w:pPr>
        <w:keepNext/>
        <w:spacing w:before="360" w:after="160"/>
      </w:pPr>
      <w:r>
        <w:rPr>
          <w:rFonts w:ascii="Arial" w:hAnsi="Arial"/>
          <w:b/>
          <w:color w:val="1A56DB"/>
          <w:sz w:val="28"/>
        </w:rPr>
        <w:t>4.4 Caching Layer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In-Memory Cache — Redis / Memcached with configurable TTL and eviction policy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Query Cache — Database-level query result caching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Write-Through / Write-Behind — Configurable cache write strategy</w:t>
      </w:r>
    </w:p>
    <w:p>
      <w:pPr>
        <w:keepNext/>
        <w:spacing w:before="360" w:after="160"/>
      </w:pPr>
      <w:r>
        <w:rPr>
          <w:rFonts w:ascii="Arial" w:hAnsi="Arial"/>
          <w:b/>
          <w:color w:val="1A56DB"/>
          <w:sz w:val="28"/>
        </w:rPr>
        <w:t>4.5 Messaging &amp; Streaming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Message Queue — RabbitMQ / SQS; point-to-point delivery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Event Stream — Kafka / Kinesis; ordered, replayable log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Pub/Sub — Fan-out to multiple subscribers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Scheduler — Cron-style job trigger</w:t>
      </w:r>
    </w:p>
    <w:p>
      <w:pPr>
        <w:keepNext/>
        <w:spacing w:before="360" w:after="160"/>
      </w:pPr>
      <w:r>
        <w:rPr>
          <w:rFonts w:ascii="Arial" w:hAnsi="Arial"/>
          <w:b/>
          <w:color w:val="1A56DB"/>
          <w:sz w:val="28"/>
        </w:rPr>
        <w:t>4.6 Cross-Cutting Concerns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Service Mesh — Sidecar-based service-to-service communication with mTLS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Distributed Tracing — Spans and traces across services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Metrics Collector — Prometheus / CloudWatch ingestion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Circuit Breaker — Fault isolation and fallback logic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Secrets Manager — Credential rotation and injection</w:t>
      </w:r>
    </w:p>
    <w:p>
      <w:pPr>
        <w:keepNext/>
        <w:spacing w:before="480" w:after="200"/>
        <w:pBdr>
          <w:bottom w:val="single" w:sz="8" w:space="6" w:color="1A56DB"/>
        </w:pBdr>
      </w:pPr>
      <w:r>
        <w:rPr>
          <w:rFonts w:ascii="Arial" w:hAnsi="Arial"/>
          <w:b/>
          <w:color w:val="111928"/>
          <w:sz w:val="36"/>
        </w:rPr>
        <w:t>5. Feature Specifications</w:t>
      </w:r>
    </w:p>
    <w:p>
      <w:pPr>
        <w:keepNext/>
        <w:spacing w:before="360" w:after="160"/>
      </w:pPr>
      <w:r>
        <w:rPr>
          <w:rFonts w:ascii="Arial" w:hAnsi="Arial"/>
          <w:b/>
          <w:color w:val="1A56DB"/>
          <w:sz w:val="28"/>
        </w:rPr>
        <w:t>5.1 Problem Statement Screen</w:t>
      </w:r>
    </w:p>
    <w:p>
      <w:pPr>
        <w:spacing w:before="80" w:after="120"/>
        <w:jc w:val="both"/>
      </w:pPr>
      <w:r>
        <w:rPr>
          <w:rFonts w:ascii="Arial" w:hAnsi="Arial"/>
          <w:color w:val="374151"/>
          <w:sz w:val="22"/>
        </w:rPr>
        <w:t>Before the canvas is shown, the candidate reads the problem statement. This screen is designed to mirror the first 5 minutes of a real interview — understanding requirements before drawing anything.</w:t>
      </w:r>
    </w:p>
    <w:p>
      <w:pPr>
        <w:pStyle w:val="ListNumber"/>
        <w:spacing w:before="40" w:after="40"/>
      </w:pPr>
      <w:r>
        <w:rPr>
          <w:rFonts w:ascii="Arial" w:hAnsi="Arial"/>
          <w:color w:val="374151"/>
          <w:sz w:val="22"/>
        </w:rPr>
        <w:t>Problem title, difficulty badge, and estimated time (e.g., 45 min)</w:t>
      </w:r>
    </w:p>
    <w:p>
      <w:pPr>
        <w:pStyle w:val="ListNumber"/>
        <w:spacing w:before="40" w:after="40"/>
      </w:pPr>
      <w:r>
        <w:rPr>
          <w:rFonts w:ascii="Arial" w:hAnsi="Arial"/>
          <w:color w:val="374151"/>
          <w:sz w:val="22"/>
        </w:rPr>
        <w:t>Narrative description of the system being built</w:t>
      </w:r>
    </w:p>
    <w:p>
      <w:pPr>
        <w:pStyle w:val="ListNumber"/>
        <w:spacing w:before="40" w:after="40"/>
      </w:pPr>
      <w:r>
        <w:rPr>
          <w:rFonts w:ascii="Arial" w:hAnsi="Arial"/>
          <w:color w:val="374151"/>
          <w:sz w:val="22"/>
        </w:rPr>
        <w:t>Functional requirements listed as user stories</w:t>
      </w:r>
    </w:p>
    <w:p>
      <w:pPr>
        <w:pStyle w:val="ListNumber"/>
        <w:spacing w:before="40" w:after="40"/>
      </w:pPr>
      <w:r>
        <w:rPr>
          <w:rFonts w:ascii="Arial" w:hAnsi="Arial"/>
          <w:color w:val="374151"/>
          <w:sz w:val="22"/>
        </w:rPr>
        <w:t>Non-functional requirements: scale, latency SLA, availability SLA, consistency model</w:t>
      </w:r>
    </w:p>
    <w:p>
      <w:pPr>
        <w:pStyle w:val="ListNumber"/>
        <w:spacing w:before="40" w:after="40"/>
      </w:pPr>
      <w:r>
        <w:rPr>
          <w:rFonts w:ascii="Arial" w:hAnsi="Arial"/>
          <w:color w:val="374151"/>
          <w:sz w:val="22"/>
        </w:rPr>
        <w:t>Clarifying questions the candidate should consider before starting</w:t>
      </w:r>
    </w:p>
    <w:p>
      <w:pPr>
        <w:pStyle w:val="ListNumber"/>
        <w:spacing w:before="40" w:after="40"/>
      </w:pPr>
      <w:r>
        <w:rPr>
          <w:rFonts w:ascii="Arial" w:hAnsi="Arial"/>
          <w:color w:val="374151"/>
          <w:sz w:val="22"/>
        </w:rPr>
        <w:t>Back-of-the-envelope estimation section: QPS, storage, bandwidth</w:t>
      </w:r>
    </w:p>
    <w:p>
      <w:pPr>
        <w:keepNext/>
        <w:spacing w:before="360" w:after="160"/>
      </w:pPr>
      <w:r>
        <w:rPr>
          <w:rFonts w:ascii="Arial" w:hAnsi="Arial"/>
          <w:b/>
          <w:color w:val="1A56DB"/>
          <w:sz w:val="28"/>
        </w:rPr>
        <w:t>5.2 Canvas Interactions</w:t>
      </w:r>
    </w:p>
    <w:p>
      <w:pPr>
        <w:spacing w:before="80" w:after="120"/>
        <w:jc w:val="both"/>
      </w:pPr>
      <w:r>
        <w:rPr>
          <w:rFonts w:ascii="Arial" w:hAnsi="Arial"/>
          <w:color w:val="374151"/>
          <w:sz w:val="22"/>
        </w:rPr>
        <w:t>The canvas must feel as fluid as a whiteboard. Every interaction should have zero perceived lag.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Drag nodes from palette — ghost preview while dragging, snap on drop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Click node to open configuration sidebar with component-specific options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Draw connections by hovering a node's output port and dragging to another node's input port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Right-click context menu: duplicate, delete, add annotation, lock position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Multi-select with shift-click or rubber-band selection; group move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Undo / Redo stack (Cmd+Z / Cmd+Shift+Z)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Minimap for large designs; pan and zoom with trackpad gestures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Annotation nodes — sticky notes for explaining design decisions</w:t>
      </w:r>
    </w:p>
    <w:p>
      <w:pPr>
        <w:keepNext/>
        <w:spacing w:before="360" w:after="160"/>
      </w:pPr>
      <w:r>
        <w:rPr>
          <w:rFonts w:ascii="Arial" w:hAnsi="Arial"/>
          <w:b/>
          <w:color w:val="1A56DB"/>
          <w:sz w:val="28"/>
        </w:rPr>
        <w:t>5.3 Submission and Evaluation</w:t>
      </w:r>
    </w:p>
    <w:p>
      <w:pPr>
        <w:spacing w:before="80" w:after="120"/>
        <w:jc w:val="both"/>
      </w:pPr>
      <w:r>
        <w:rPr>
          <w:rFonts w:ascii="Arial" w:hAnsi="Arial"/>
          <w:color w:val="374151"/>
          <w:sz w:val="22"/>
        </w:rPr>
        <w:t>Submission triggers the AI evaluation pipeline. The pipeline converts the canvas graph into a JSON representation and sends it to the evaluation model with the problem's scoring rubric.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Pre-submission checklist: warns of disconnected nodes, missing configuration, obvious anti-patterns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Evaluation runs in under 8 seconds — progress indicator shown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Scorecard returned per dimension (0–100) with a radar chart visualization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Inline annotations on the canvas highlight specific nodes with feedback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Comparison view: side-by-side with reference solution (unlocked after first submission)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Retry button: candidate can revise and resubmit up to 3 times per problem</w:t>
      </w:r>
    </w:p>
    <w:p>
      <w:pPr>
        <w:keepNext/>
        <w:spacing w:before="360" w:after="160"/>
      </w:pPr>
      <w:r>
        <w:rPr>
          <w:rFonts w:ascii="Arial" w:hAnsi="Arial"/>
          <w:b/>
          <w:color w:val="1A56DB"/>
          <w:sz w:val="28"/>
        </w:rPr>
        <w:t>5.4 Hint System</w:t>
      </w:r>
    </w:p>
    <w:p>
      <w:pPr>
        <w:spacing w:before="80" w:after="120"/>
        <w:jc w:val="both"/>
      </w:pPr>
      <w:r>
        <w:rPr>
          <w:rFonts w:ascii="Arial" w:hAnsi="Arial"/>
          <w:color w:val="374151"/>
          <w:sz w:val="22"/>
        </w:rPr>
        <w:t>Hints are designed to guide without giving away the answer. They operate at three levels of specificity.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F3FAF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Level 1 — Nudge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High-level: 'Consider how reads are distributed relative to writes.'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Level 2 — Concept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Named concept: 'A read replica can reduce load on the primary database.'</w:t>
            </w:r>
          </w:p>
        </w:tc>
      </w:tr>
      <w:tr>
        <w:tc>
          <w:tcPr>
            <w:tcW w:type="dxa" w:w="3168"/>
            <w:shd w:fill="F3FAF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Level 3 — Component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Direct: 'Add a Redis cache between your API server and PostgreSQL.'</w:t>
            </w:r>
          </w:p>
        </w:tc>
      </w:tr>
    </w:tbl>
    <w:p>
      <w:pPr>
        <w:keepNext/>
        <w:spacing w:before="360" w:after="160"/>
      </w:pPr>
      <w:r>
        <w:rPr>
          <w:rFonts w:ascii="Arial" w:hAnsi="Arial"/>
          <w:b/>
          <w:color w:val="1A56DB"/>
          <w:sz w:val="28"/>
        </w:rPr>
        <w:t>5.5 Learning Paths</w:t>
      </w:r>
    </w:p>
    <w:p>
      <w:pPr>
        <w:spacing w:before="80" w:after="120"/>
        <w:jc w:val="both"/>
      </w:pPr>
      <w:r>
        <w:rPr>
          <w:rFonts w:ascii="Arial" w:hAnsi="Arial"/>
          <w:color w:val="374151"/>
          <w:sz w:val="22"/>
        </w:rPr>
        <w:t>Beyond individual problems, SysDesign Arena offers structured learning paths — curated sequences of problems that build conceptual understanding progressively.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Path: Storage Fundamentals — SQL, NoSQL, object stores, indexing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Path: Scalability Patterns — Caching, sharding, replication, consistent hashing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Path: Reliability Engineering — Replication, circuit breakers, health checks, SLAs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Path: Real-Time Systems — WebSockets, pub/sub, event streaming, CQRS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Path: FAANG Interview Prep — The 10 most common problems asked at top companies</w:t>
      </w:r>
    </w:p>
    <w:p>
      <w:pPr>
        <w:keepNext/>
        <w:spacing w:before="480" w:after="200"/>
        <w:pBdr>
          <w:bottom w:val="single" w:sz="8" w:space="6" w:color="1A56DB"/>
        </w:pBdr>
      </w:pPr>
      <w:r>
        <w:rPr>
          <w:rFonts w:ascii="Arial" w:hAnsi="Arial"/>
          <w:b/>
          <w:color w:val="111928"/>
          <w:sz w:val="36"/>
        </w:rPr>
        <w:t>6. Technical Architecture</w:t>
      </w:r>
    </w:p>
    <w:p>
      <w:pPr>
        <w:keepNext/>
        <w:spacing w:before="360" w:after="160"/>
      </w:pPr>
      <w:r>
        <w:rPr>
          <w:rFonts w:ascii="Arial" w:hAnsi="Arial"/>
          <w:b/>
          <w:color w:val="1A56DB"/>
          <w:sz w:val="28"/>
        </w:rPr>
        <w:t>6.1 Frontend Stack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EBF5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Framework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React 18 with TypeScript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Canvas Library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React Flow (node-based graph rendering, pan/zoom, custom nodes)</w:t>
            </w:r>
          </w:p>
        </w:tc>
      </w:tr>
      <w:tr>
        <w:tc>
          <w:tcPr>
            <w:tcW w:type="dxa" w:w="3168"/>
            <w:shd w:fill="EBF5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State Management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Zustand for canvas state; React Query for server data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Styling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Tailwind CSS with custom design tokens</w:t>
            </w:r>
          </w:p>
        </w:tc>
      </w:tr>
      <w:tr>
        <w:tc>
          <w:tcPr>
            <w:tcW w:type="dxa" w:w="3168"/>
            <w:shd w:fill="EBF5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Animation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Framer Motion for node transitions and score animations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Bundler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Vite with code splitting per problem</w:t>
            </w:r>
          </w:p>
        </w:tc>
      </w:tr>
    </w:tbl>
    <w:p>
      <w:pPr>
        <w:keepNext/>
        <w:spacing w:before="360" w:after="160"/>
      </w:pPr>
      <w:r>
        <w:rPr>
          <w:rFonts w:ascii="Arial" w:hAnsi="Arial"/>
          <w:b/>
          <w:color w:val="1A56DB"/>
          <w:sz w:val="28"/>
        </w:rPr>
        <w:t>6.2 Backend Stack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EBF5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Runtime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Node.js 20 with Fastify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Database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PostgreSQL (Supabase) — users, problems, submissions</w:t>
            </w:r>
          </w:p>
        </w:tc>
      </w:tr>
      <w:tr>
        <w:tc>
          <w:tcPr>
            <w:tcW w:type="dxa" w:w="3168"/>
            <w:shd w:fill="EBF5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Realtime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Supabase Realtime for live collaboration features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Auth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Supabase Auth — email, Google, GitHub OAuth</w:t>
            </w:r>
          </w:p>
        </w:tc>
      </w:tr>
      <w:tr>
        <w:tc>
          <w:tcPr>
            <w:tcW w:type="dxa" w:w="3168"/>
            <w:shd w:fill="EBF5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File Storage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Supabase Storage — design exports, reference solutions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Job Queue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BullMQ on Redis — evaluation jobs, notification dispatch</w:t>
            </w:r>
          </w:p>
        </w:tc>
      </w:tr>
    </w:tbl>
    <w:p>
      <w:pPr>
        <w:keepNext/>
        <w:spacing w:before="360" w:after="160"/>
      </w:pPr>
      <w:r>
        <w:rPr>
          <w:rFonts w:ascii="Arial" w:hAnsi="Arial"/>
          <w:b/>
          <w:color w:val="1A56DB"/>
          <w:sz w:val="28"/>
        </w:rPr>
        <w:t>6.3 AI Evaluation Engine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EBF5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Primary Model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Claude Sonnet — complex graph analysis and structured feedback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Input Format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JSON graph: nodes array, edges array, problem ID, scale constraints</w:t>
            </w:r>
          </w:p>
        </w:tc>
      </w:tr>
      <w:tr>
        <w:tc>
          <w:tcPr>
            <w:tcW w:type="dxa" w:w="3168"/>
            <w:shd w:fill="EBF5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Output Format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Structured JSON: dimension scores, inline annotations, recommendations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Latency Target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P95 &lt; 8 seconds end-to-end</w:t>
            </w:r>
          </w:p>
        </w:tc>
      </w:tr>
      <w:tr>
        <w:tc>
          <w:tcPr>
            <w:tcW w:type="dxa" w:w="3168"/>
            <w:shd w:fill="EBF5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Fallback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Cached reference scoring for common node patterns</w:t>
            </w:r>
          </w:p>
        </w:tc>
      </w:tr>
    </w:tbl>
    <w:p>
      <w:pPr>
        <w:keepNext/>
        <w:spacing w:before="360" w:after="160"/>
      </w:pPr>
      <w:r>
        <w:rPr>
          <w:rFonts w:ascii="Arial" w:hAnsi="Arial"/>
          <w:b/>
          <w:color w:val="1A56DB"/>
          <w:sz w:val="28"/>
        </w:rPr>
        <w:t>6.4 Evaluation Graph Schema</w:t>
      </w:r>
    </w:p>
    <w:p>
      <w:pPr>
        <w:spacing w:before="80" w:after="120"/>
        <w:jc w:val="both"/>
      </w:pPr>
      <w:r>
        <w:rPr>
          <w:rFonts w:ascii="Arial" w:hAnsi="Arial"/>
          <w:color w:val="374151"/>
          <w:sz w:val="22"/>
        </w:rPr>
        <w:t>The canvas graph is serialized into a standardized JSON schema before being sent to the evaluation model. This schema captures topology, node configuration, and connection semantics.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left w:val="single" w:sz="36" w:space="0" w:color="1A56DB"/>
              <w:top w:val="none"/>
              <w:bottom w:val="none"/>
              <w:right w:val="none"/>
            </w:tcBorders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56DB"/>
                <w:sz w:val="21"/>
              </w:rPr>
              <w:t xml:space="preserve">[SCHEMA] </w:t>
            </w:r>
            <w:r>
              <w:rPr>
                <w:rFonts w:ascii="Arial" w:hAnsi="Arial"/>
                <w:color w:val="111928"/>
                <w:sz w:val="21"/>
              </w:rPr>
              <w:t>{ nodes: [{ id, type, config, position }], edges: [{ source, target, edgeType }], meta: { problemId, candidateId, submittedAt } }</w:t>
            </w:r>
          </w:p>
        </w:tc>
      </w:tr>
    </w:tbl>
    <w:p>
      <w:pPr>
        <w:keepNext/>
        <w:spacing w:before="480" w:after="200"/>
        <w:pBdr>
          <w:bottom w:val="single" w:sz="8" w:space="6" w:color="1A56DB"/>
        </w:pBdr>
      </w:pPr>
      <w:r>
        <w:rPr>
          <w:rFonts w:ascii="Arial" w:hAnsi="Arial"/>
          <w:b/>
          <w:color w:val="111928"/>
          <w:sz w:val="36"/>
        </w:rPr>
        <w:t>7. Key User Journeys</w:t>
      </w:r>
    </w:p>
    <w:p>
      <w:pPr>
        <w:keepNext/>
        <w:spacing w:before="360" w:after="160"/>
      </w:pPr>
      <w:r>
        <w:rPr>
          <w:rFonts w:ascii="Arial" w:hAnsi="Arial"/>
          <w:b/>
          <w:color w:val="1A56DB"/>
          <w:sz w:val="28"/>
        </w:rPr>
        <w:t>7.1 First-Time Candidate</w:t>
      </w:r>
    </w:p>
    <w:p>
      <w:pPr>
        <w:pStyle w:val="ListNumber"/>
        <w:spacing w:before="40" w:after="40"/>
      </w:pPr>
      <w:r>
        <w:rPr>
          <w:rFonts w:ascii="Arial" w:hAnsi="Arial"/>
          <w:color w:val="374151"/>
          <w:sz w:val="22"/>
        </w:rPr>
        <w:t>Lands on marketing page, sees demo of the canvas in action</w:t>
      </w:r>
    </w:p>
    <w:p>
      <w:pPr>
        <w:pStyle w:val="ListNumber"/>
        <w:spacing w:before="40" w:after="40"/>
      </w:pPr>
      <w:r>
        <w:rPr>
          <w:rFonts w:ascii="Arial" w:hAnsi="Arial"/>
          <w:color w:val="374151"/>
          <w:sz w:val="22"/>
        </w:rPr>
        <w:t>Signs up with Google OAuth — no credit card required</w:t>
      </w:r>
    </w:p>
    <w:p>
      <w:pPr>
        <w:pStyle w:val="ListNumber"/>
        <w:spacing w:before="40" w:after="40"/>
      </w:pPr>
      <w:r>
        <w:rPr>
          <w:rFonts w:ascii="Arial" w:hAnsi="Arial"/>
          <w:color w:val="374151"/>
          <w:sz w:val="22"/>
        </w:rPr>
        <w:t>Onboarding quiz: current role, interview timeline, target companies</w:t>
      </w:r>
    </w:p>
    <w:p>
      <w:pPr>
        <w:pStyle w:val="ListNumber"/>
        <w:spacing w:before="40" w:after="40"/>
      </w:pPr>
      <w:r>
        <w:rPr>
          <w:rFonts w:ascii="Arial" w:hAnsi="Arial"/>
          <w:color w:val="374151"/>
          <w:sz w:val="22"/>
        </w:rPr>
        <w:t>Platform recommends a starting problem (usually URL Shortener — Easy)</w:t>
      </w:r>
    </w:p>
    <w:p>
      <w:pPr>
        <w:pStyle w:val="ListNumber"/>
        <w:spacing w:before="40" w:after="40"/>
      </w:pPr>
      <w:r>
        <w:rPr>
          <w:rFonts w:ascii="Arial" w:hAnsi="Arial"/>
          <w:color w:val="374151"/>
          <w:sz w:val="22"/>
        </w:rPr>
        <w:t>Completes guided tour of canvas: how to drag nodes, connect, configure</w:t>
      </w:r>
    </w:p>
    <w:p>
      <w:pPr>
        <w:pStyle w:val="ListNumber"/>
        <w:spacing w:before="40" w:after="40"/>
      </w:pPr>
      <w:r>
        <w:rPr>
          <w:rFonts w:ascii="Arial" w:hAnsi="Arial"/>
          <w:color w:val="374151"/>
          <w:sz w:val="22"/>
        </w:rPr>
        <w:t>Builds first design, submits, receives scorecard</w:t>
      </w:r>
    </w:p>
    <w:p>
      <w:pPr>
        <w:pStyle w:val="ListNumber"/>
        <w:spacing w:before="40" w:after="40"/>
      </w:pPr>
      <w:r>
        <w:rPr>
          <w:rFonts w:ascii="Arial" w:hAnsi="Arial"/>
          <w:color w:val="374151"/>
          <w:sz w:val="22"/>
        </w:rPr>
        <w:t>Views reference solution comparison</w:t>
      </w:r>
    </w:p>
    <w:p>
      <w:pPr>
        <w:pStyle w:val="ListNumber"/>
        <w:spacing w:before="40" w:after="40"/>
      </w:pPr>
      <w:r>
        <w:rPr>
          <w:rFonts w:ascii="Arial" w:hAnsi="Arial"/>
          <w:color w:val="374151"/>
          <w:sz w:val="22"/>
        </w:rPr>
        <w:t>Prompted to start a Learning Path based on scorecard weaknesses</w:t>
      </w:r>
    </w:p>
    <w:p>
      <w:pPr>
        <w:keepNext/>
        <w:spacing w:before="360" w:after="160"/>
      </w:pPr>
      <w:r>
        <w:rPr>
          <w:rFonts w:ascii="Arial" w:hAnsi="Arial"/>
          <w:b/>
          <w:color w:val="1A56DB"/>
          <w:sz w:val="28"/>
        </w:rPr>
        <w:t>7.2 Daily Practice Session</w:t>
      </w:r>
    </w:p>
    <w:p>
      <w:pPr>
        <w:pStyle w:val="ListNumber"/>
        <w:spacing w:before="40" w:after="40"/>
      </w:pPr>
      <w:r>
        <w:rPr>
          <w:rFonts w:ascii="Arial" w:hAnsi="Arial"/>
          <w:color w:val="374151"/>
          <w:sz w:val="22"/>
        </w:rPr>
        <w:t>Returns to platform, sees streak indicator and recommended next problem</w:t>
      </w:r>
    </w:p>
    <w:p>
      <w:pPr>
        <w:pStyle w:val="ListNumber"/>
        <w:spacing w:before="40" w:after="40"/>
      </w:pPr>
      <w:r>
        <w:rPr>
          <w:rFonts w:ascii="Arial" w:hAnsi="Arial"/>
          <w:color w:val="374151"/>
          <w:sz w:val="22"/>
        </w:rPr>
        <w:t>Opens problem — reads statement, does back-of-envelope estimate</w:t>
      </w:r>
    </w:p>
    <w:p>
      <w:pPr>
        <w:pStyle w:val="ListNumber"/>
        <w:spacing w:before="40" w:after="40"/>
      </w:pPr>
      <w:r>
        <w:rPr>
          <w:rFonts w:ascii="Arial" w:hAnsi="Arial"/>
          <w:color w:val="374151"/>
          <w:sz w:val="22"/>
        </w:rPr>
        <w:t>Builds design on canvas — uses 2 hints</w:t>
      </w:r>
    </w:p>
    <w:p>
      <w:pPr>
        <w:pStyle w:val="ListNumber"/>
        <w:spacing w:before="40" w:after="40"/>
      </w:pPr>
      <w:r>
        <w:rPr>
          <w:rFonts w:ascii="Arial" w:hAnsi="Arial"/>
          <w:color w:val="374151"/>
          <w:sz w:val="22"/>
        </w:rPr>
        <w:t>Submits — receives feedback with inline annotations</w:t>
      </w:r>
    </w:p>
    <w:p>
      <w:pPr>
        <w:pStyle w:val="ListNumber"/>
        <w:spacing w:before="40" w:after="40"/>
      </w:pPr>
      <w:r>
        <w:rPr>
          <w:rFonts w:ascii="Arial" w:hAnsi="Arial"/>
          <w:color w:val="374151"/>
          <w:sz w:val="22"/>
        </w:rPr>
        <w:t>Reviews reference solution, reads concept explanation for weakest dimension</w:t>
      </w:r>
    </w:p>
    <w:p>
      <w:pPr>
        <w:pStyle w:val="ListNumber"/>
        <w:spacing w:before="40" w:after="40"/>
      </w:pPr>
      <w:r>
        <w:rPr>
          <w:rFonts w:ascii="Arial" w:hAnsi="Arial"/>
          <w:color w:val="374151"/>
          <w:sz w:val="22"/>
        </w:rPr>
        <w:t>Marks problem complete, moves to next in learning path</w:t>
      </w:r>
    </w:p>
    <w:p>
      <w:pPr>
        <w:keepNext/>
        <w:spacing w:before="480" w:after="200"/>
        <w:pBdr>
          <w:bottom w:val="single" w:sz="8" w:space="6" w:color="1A56DB"/>
        </w:pBdr>
      </w:pPr>
      <w:r>
        <w:rPr>
          <w:rFonts w:ascii="Arial" w:hAnsi="Arial"/>
          <w:b/>
          <w:color w:val="111928"/>
          <w:sz w:val="36"/>
        </w:rPr>
        <w:t>8. Monetization Strategy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fill="1A56D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4032"/>
            <w:shd w:fill="1A56D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Included Features</w:t>
            </w:r>
          </w:p>
        </w:tc>
        <w:tc>
          <w:tcPr>
            <w:tcW w:type="dxa" w:w="2448"/>
            <w:shd w:fill="1A56D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Price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11928"/>
                <w:sz w:val="20"/>
              </w:rPr>
              <w:t>Free</w:t>
            </w:r>
          </w:p>
        </w:tc>
        <w:tc>
          <w:tcPr>
            <w:tcW w:type="dxa" w:w="403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74151"/>
                <w:sz w:val="20"/>
              </w:rPr>
              <w:t>10 problems, basic evaluation, 3 hint uses/day</w:t>
            </w:r>
          </w:p>
        </w:tc>
        <w:tc>
          <w:tcPr>
            <w:tcW w:type="dxa" w:w="244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74151"/>
                <w:sz w:val="20"/>
              </w:rPr>
              <w:t>Free forever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11928"/>
                <w:sz w:val="20"/>
              </w:rPr>
              <w:t>Pro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74151"/>
                <w:sz w:val="20"/>
              </w:rPr>
              <w:t>All problems, full evaluation, unlimited hints, learning paths, progress analytics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74151"/>
                <w:sz w:val="20"/>
              </w:rPr>
              <w:t>INR 499/month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11928"/>
                <w:sz w:val="20"/>
              </w:rPr>
              <w:t>Pro Annual</w:t>
            </w:r>
          </w:p>
        </w:tc>
        <w:tc>
          <w:tcPr>
            <w:tcW w:type="dxa" w:w="403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74151"/>
                <w:sz w:val="20"/>
              </w:rPr>
              <w:t>Everything in Pro, offline mode, design history, priority support</w:t>
            </w:r>
          </w:p>
        </w:tc>
        <w:tc>
          <w:tcPr>
            <w:tcW w:type="dxa" w:w="244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74151"/>
                <w:sz w:val="20"/>
              </w:rPr>
              <w:t>INR 3,999/year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11928"/>
                <w:sz w:val="20"/>
              </w:rPr>
              <w:t>Teams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74151"/>
                <w:sz w:val="20"/>
              </w:rPr>
              <w:t>Pro for 5+ seats, manager dashboard, custom problem sets, interview simulation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74151"/>
                <w:sz w:val="20"/>
              </w:rPr>
              <w:t>INR 1,999/seat/month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AF7"/>
            <w:tcBorders>
              <w:left w:val="single" w:sz="36" w:space="0" w:color="0E9F6E"/>
              <w:top w:val="none"/>
              <w:bottom w:val="none"/>
              <w:right w:val="none"/>
            </w:tcBorders>
            <w:tcMar>
              <w:top w:w="140" w:type="dxa"/>
              <w:bottom w:w="140" w:type="dxa"/>
              <w:left w:w="18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56DB"/>
                <w:sz w:val="21"/>
              </w:rPr>
              <w:t xml:space="preserve">[MARKET] </w:t>
            </w:r>
            <w:r>
              <w:rPr>
                <w:rFonts w:ascii="Arial" w:hAnsi="Arial"/>
                <w:color w:val="111928"/>
                <w:sz w:val="21"/>
              </w:rPr>
              <w:t>Primary markets: India (tier-1 engineering colleges, service-to-product transitions), Southeast Asia, Eastern Europe. Secondary: US/UK self-study engineers preparing for FAANG.</w:t>
            </w:r>
          </w:p>
        </w:tc>
      </w:tr>
    </w:tbl>
    <w:p>
      <w:pPr>
        <w:keepNext/>
        <w:spacing w:before="480" w:after="200"/>
        <w:pBdr>
          <w:bottom w:val="single" w:sz="8" w:space="6" w:color="1A56DB"/>
        </w:pBdr>
      </w:pPr>
      <w:r>
        <w:rPr>
          <w:rFonts w:ascii="Arial" w:hAnsi="Arial"/>
          <w:b/>
          <w:color w:val="111928"/>
          <w:sz w:val="36"/>
        </w:rPr>
        <w:t>9. Success Metrics</w:t>
      </w:r>
    </w:p>
    <w:p>
      <w:pPr>
        <w:keepNext/>
        <w:spacing w:before="360" w:after="160"/>
      </w:pPr>
      <w:r>
        <w:rPr>
          <w:rFonts w:ascii="Arial" w:hAnsi="Arial"/>
          <w:b/>
          <w:color w:val="1A56DB"/>
          <w:sz w:val="28"/>
        </w:rPr>
        <w:t>9.1 Acquisition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Month 1–3: 2,000 registered users from college and developer communities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Month 6: 10,000 registered users; 8% free-to-Pro conversion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Month 12: 40,000 registered users; 500 Pro subscribers</w:t>
      </w:r>
    </w:p>
    <w:p>
      <w:pPr>
        <w:keepNext/>
        <w:spacing w:before="360" w:after="160"/>
      </w:pPr>
      <w:r>
        <w:rPr>
          <w:rFonts w:ascii="Arial" w:hAnsi="Arial"/>
          <w:b/>
          <w:color w:val="1A56DB"/>
          <w:sz w:val="28"/>
        </w:rPr>
        <w:t>9.2 Engagement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D7 retention: 35%+ (users return within 7 days of signup)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Problems per session: 1.5 average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Hint usage rate: 60% of sessions — indicates active engagement, not passivity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Submission rate: 80%+ of started problems are submitted</w:t>
      </w:r>
    </w:p>
    <w:p>
      <w:pPr>
        <w:keepNext/>
        <w:spacing w:before="360" w:after="160"/>
      </w:pPr>
      <w:r>
        <w:rPr>
          <w:rFonts w:ascii="Arial" w:hAnsi="Arial"/>
          <w:b/>
          <w:color w:val="1A56DB"/>
          <w:sz w:val="28"/>
        </w:rPr>
        <w:t>9.3 Learning Outcomes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Average score improvement: 25+ points across 5 attempts on the same problem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Learning path completion: 40%+ of started paths completed</w:t>
      </w:r>
    </w:p>
    <w:p>
      <w:pPr>
        <w:pStyle w:val="ListBullet"/>
        <w:spacing w:before="40" w:after="40"/>
      </w:pPr>
      <w:r>
        <w:rPr>
          <w:rFonts w:ascii="Arial" w:hAnsi="Arial"/>
          <w:color w:val="374151"/>
          <w:sz w:val="22"/>
        </w:rPr>
        <w:t>User-reported interview confidence: NPS &gt; 50 among Pro users</w:t>
      </w:r>
    </w:p>
    <w:p>
      <w:pPr>
        <w:keepNext/>
        <w:spacing w:before="480" w:after="200"/>
        <w:pBdr>
          <w:bottom w:val="single" w:sz="8" w:space="6" w:color="1A56DB"/>
        </w:pBdr>
      </w:pPr>
      <w:r>
        <w:rPr>
          <w:rFonts w:ascii="Arial" w:hAnsi="Arial"/>
          <w:b/>
          <w:color w:val="111928"/>
          <w:sz w:val="36"/>
        </w:rPr>
        <w:t>10. Product Roadmap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fill="1A56D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4032"/>
            <w:shd w:fill="1A56D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448"/>
            <w:shd w:fill="1A56D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11928"/>
                <w:sz w:val="20"/>
              </w:rPr>
              <w:t>Phase 1 — MVP</w:t>
            </w:r>
          </w:p>
        </w:tc>
        <w:tc>
          <w:tcPr>
            <w:tcW w:type="dxa" w:w="403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74151"/>
                <w:sz w:val="20"/>
              </w:rPr>
              <w:t>15 problems (5E/5M/5H), canvas with 20 nodes, basic AI eval, auth</w:t>
            </w:r>
          </w:p>
        </w:tc>
        <w:tc>
          <w:tcPr>
            <w:tcW w:type="dxa" w:w="244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74151"/>
                <w:sz w:val="20"/>
              </w:rPr>
              <w:t>Months 1–2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11928"/>
                <w:sz w:val="20"/>
              </w:rPr>
              <w:t>Phase 2 — Growth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74151"/>
                <w:sz w:val="20"/>
              </w:rPr>
              <w:t>50 problems, learning paths, hints, progress dashboard, sharing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74151"/>
                <w:sz w:val="20"/>
              </w:rPr>
              <w:t>Months 3–4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11928"/>
                <w:sz w:val="20"/>
              </w:rPr>
              <w:t>Phase 3 — Pro</w:t>
            </w:r>
          </w:p>
        </w:tc>
        <w:tc>
          <w:tcPr>
            <w:tcW w:type="dxa" w:w="403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74151"/>
                <w:sz w:val="20"/>
              </w:rPr>
              <w:t>Pro tier, teams, interview simulation mode, collaborative canvas</w:t>
            </w:r>
          </w:p>
        </w:tc>
        <w:tc>
          <w:tcPr>
            <w:tcW w:type="dxa" w:w="244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74151"/>
                <w:sz w:val="20"/>
              </w:rPr>
              <w:t>Months 5–6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11928"/>
                <w:sz w:val="20"/>
              </w:rPr>
              <w:t>Phase 4 — Scale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74151"/>
                <w:sz w:val="20"/>
              </w:rPr>
              <w:t>100+ problems, mobile PWA, company-specific problem sets, API for colleges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74151"/>
                <w:sz w:val="20"/>
              </w:rPr>
              <w:t>Months 7–12</w:t>
            </w:r>
          </w:p>
        </w:tc>
      </w:tr>
    </w:tbl>
    <w:p>
      <w:pPr>
        <w:keepNext/>
        <w:spacing w:before="480" w:after="200"/>
        <w:pBdr>
          <w:bottom w:val="single" w:sz="8" w:space="6" w:color="1A56DB"/>
        </w:pBdr>
      </w:pPr>
      <w:r>
        <w:rPr>
          <w:rFonts w:ascii="Arial" w:hAnsi="Arial"/>
          <w:b/>
          <w:color w:val="111928"/>
          <w:sz w:val="36"/>
        </w:rPr>
        <w:t>11. Risks and Mitigations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EBF5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AI eval latency &gt; 8s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Cache common patterns; use streaming responses to show partial feedback early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Canvas complexity too high for beginners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Auto-layout mode; guided first problem; progressive node unlocking</w:t>
            </w:r>
          </w:p>
        </w:tc>
      </w:tr>
      <w:tr>
        <w:tc>
          <w:tcPr>
            <w:tcW w:type="dxa" w:w="3168"/>
            <w:shd w:fill="EBF5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Low free-to-paid conversion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Strict free tier limits; show score distribution vs. Pro users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Content stale-ness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Community problem submissions; quarterly problem audit; company-specific updates</w:t>
            </w:r>
          </w:p>
        </w:tc>
      </w:tr>
      <w:tr>
        <w:tc>
          <w:tcPr>
            <w:tcW w:type="dxa" w:w="3168"/>
            <w:shd w:fill="EBF5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Competitor copies the model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First-mover advantage; build network effects via shared designs and leaderboards</w:t>
            </w:r>
          </w:p>
        </w:tc>
      </w:tr>
    </w:tbl>
    <w:p>
      <w:pPr>
        <w:keepNext/>
        <w:spacing w:before="480" w:after="200"/>
        <w:pBdr>
          <w:bottom w:val="single" w:sz="8" w:space="6" w:color="1A56DB"/>
        </w:pBdr>
      </w:pPr>
      <w:r>
        <w:rPr>
          <w:rFonts w:ascii="Arial" w:hAnsi="Arial"/>
          <w:b/>
          <w:color w:val="111928"/>
          <w:sz w:val="36"/>
        </w:rPr>
        <w:t>12. Appendix — Glossary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3168"/>
            <w:shd w:fill="EBF5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Node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A draggable canvas element representing a system component (e.g., Load Balancer, Cache)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Edge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A directional connection between two nodes indicating data flow</w:t>
            </w:r>
          </w:p>
        </w:tc>
      </w:tr>
      <w:tr>
        <w:tc>
          <w:tcPr>
            <w:tcW w:type="dxa" w:w="3168"/>
            <w:shd w:fill="EBF5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Topology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The arrangement of nodes and edges forming a complete system design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Evaluation Engine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The AI pipeline that converts a canvas graph into a structured scorecard</w:t>
            </w:r>
          </w:p>
        </w:tc>
      </w:tr>
      <w:tr>
        <w:tc>
          <w:tcPr>
            <w:tcW w:type="dxa" w:w="3168"/>
            <w:shd w:fill="EBF5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Learning Path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A curated sequence of problems designed to teach a specific system design concept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Back-of-Envelope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Quick order-of-magnitude estimation of QPS, storage, and bandwidth before designing</w:t>
            </w:r>
          </w:p>
        </w:tc>
      </w:tr>
      <w:tr>
        <w:tc>
          <w:tcPr>
            <w:tcW w:type="dxa" w:w="3168"/>
            <w:shd w:fill="EBF5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CAP Theorem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Distributed systems can guarantee only 2 of: Consistency, Availability, Partition tolerance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Sharding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Horizontal partitioning of a database across multiple nodes to distribute load</w:t>
            </w:r>
          </w:p>
        </w:tc>
      </w:tr>
      <w:tr>
        <w:tc>
          <w:tcPr>
            <w:tcW w:type="dxa" w:w="3168"/>
            <w:shd w:fill="EBF5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Read Replica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A database copy that handles read traffic, reducing load on the primary instance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11928"/>
                <w:sz w:val="20"/>
              </w:rPr>
              <w:t>CDN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374151"/>
                <w:sz w:val="20"/>
              </w:rPr>
              <w:t>Content Delivery Network — servers at edge locations that cache content close to users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Confidential  •  SysDesign Arena PRD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6" w:color="E5E7EB"/>
      </w:pBdr>
    </w:pPr>
    <w:r>
      <w:rPr>
        <w:rFonts w:ascii="Arial" w:hAnsi="Arial"/>
        <w:b/>
        <w:color w:val="1A56DB"/>
        <w:sz w:val="18"/>
      </w:rPr>
      <w:t>SysDesign Arena</w:t>
    </w:r>
    <w:r>
      <w:rPr>
        <w:rFonts w:ascii="Arial" w:hAnsi="Arial"/>
        <w:color w:val="6B7280"/>
        <w:sz w:val="18"/>
      </w:rPr>
      <w:t xml:space="preserve">   | 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