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56"/>
          <w:szCs w:val="56"/>
        </w:rPr>
        <w:t xml:space="preserve">Implementing Sentry</w:t>
      </w:r>
    </w:p>
    <w:p>
      <w:pPr>
        <w:spacing w:after="40" w:before="120"/>
        <w:jc w:val="center"/>
      </w:pPr>
      <w:r>
        <w:rPr>
          <w:i/>
          <w:iCs/>
          <w:color w:val="2E74B5"/>
          <w:sz w:val="28"/>
          <w:szCs w:val="28"/>
        </w:rPr>
        <w:t xml:space="preserve">A Senior Developer's Strategy for Error Tracking &amp; Observability</w:t>
      </w:r>
    </w:p>
    <w:p>
      <w:pPr>
        <w:spacing w:before="600"/>
        <w:jc w:val="center"/>
      </w:pPr>
      <w:r>
        <w:rPr>
          <w:color w:val="595959"/>
          <w:sz w:val="22"/>
          <w:szCs w:val="22"/>
        </w:rPr>
        <w:t xml:space="preserve">Architecture • Rollout Plan • Configuration • Team Workflow</w:t>
      </w:r>
    </w:p>
    <w:p>
      <w:pPr>
        <w:spacing w:before="2000"/>
        <w:jc w:val="center"/>
      </w:pPr>
      <w:r>
        <w:rPr>
          <w:color w:val="595959"/>
          <w:sz w:val="20"/>
          <w:szCs w:val="20"/>
        </w:rPr>
        <w:t xml:space="preserve">Prepared as an engineering playbook</w:t>
      </w:r>
    </w:p>
    <w:p>
      <w:r>
        <w:br w:type="page"/>
      </w:r>
    </w:p>
    <w:p>
      <w:pPr>
        <w:pStyle w:val="Heading1"/>
        <w:spacing w:after="160" w:before="360"/>
      </w:pPr>
      <w:r>
        <w:rPr>
          <w:b/>
          <w:bCs/>
          <w:color w:val="1F4E79"/>
          <w:sz w:val="30"/>
          <w:szCs w:val="30"/>
        </w:rPr>
        <w:t xml:space="preserve">1. Why Sentry, and What Problem It Actually Solves</w:t>
      </w:r>
    </w:p>
    <w:p>
      <w:pPr>
        <w:spacing w:after="160" w:line="288"/>
      </w:pPr>
      <w:r>
        <w:rPr>
          <w:sz w:val="22"/>
          <w:szCs w:val="22"/>
        </w:rPr>
        <w:t xml:space="preserve">Sentry is an application monitoring platform that captures errors, exceptions, and performance data in real time, then groups them into actionable issues instead of leaving them buried in logs. The strategic goal isn't "install the SDK" — it's building a feedback loop where a production bug is detected, triaged, and routed to the right owner faster than a customer can file a support ticket.</w:t>
      </w:r>
    </w:p>
    <w:p>
      <w:pPr>
        <w:spacing w:after="160" w:line="288"/>
      </w:pPr>
      <w:r>
        <w:rPr>
          <w:sz w:val="22"/>
          <w:szCs w:val="22"/>
        </w:rPr>
        <w:t xml:space="preserve">A senior developer treats Sentry as three layered capabilities, not one tool:</w:t>
      </w:r>
    </w:p>
    <w:p>
      <w:pPr>
        <w:pStyle w:val="ListParagraph"/>
        <w:numPr>
          <w:ilvl w:val="0"/>
          <w:numId w:val="2"/>
        </w:numPr>
        <w:spacing w:after="80" w:line="276"/>
      </w:pPr>
      <w:r>
        <w:rPr>
          <w:sz w:val="22"/>
          <w:szCs w:val="22"/>
        </w:rPr>
        <w:t xml:space="preserve">Error tracking — uncaught exceptions, handled errors, and unhandled promise rejections across frontend, backend, and mobile.</w:t>
      </w:r>
    </w:p>
    <w:p>
      <w:pPr>
        <w:pStyle w:val="ListParagraph"/>
        <w:numPr>
          <w:ilvl w:val="0"/>
          <w:numId w:val="2"/>
        </w:numPr>
        <w:spacing w:after="80" w:line="276"/>
      </w:pPr>
      <w:r>
        <w:rPr>
          <w:sz w:val="22"/>
          <w:szCs w:val="22"/>
        </w:rPr>
        <w:t xml:space="preserve">Performance monitoring (tracing) — slow transactions, N+1 queries, and latency regressions across service boundaries.</w:t>
      </w:r>
    </w:p>
    <w:p>
      <w:pPr>
        <w:pStyle w:val="ListParagraph"/>
        <w:numPr>
          <w:ilvl w:val="0"/>
          <w:numId w:val="2"/>
        </w:numPr>
        <w:spacing w:after="80" w:line="276"/>
      </w:pPr>
      <w:r>
        <w:rPr>
          <w:sz w:val="22"/>
          <w:szCs w:val="22"/>
        </w:rPr>
        <w:t xml:space="preserve">Release health — crash-free session/user rates tied to specific deploys, enabling fast rollback decisions.</w:t>
      </w:r>
    </w:p>
    <w:p>
      <w:pPr>
        <w:pStyle w:val="Heading1"/>
        <w:spacing w:after="160" w:before="360"/>
      </w:pPr>
      <w:r>
        <w:rPr>
          <w:b/>
          <w:bCs/>
          <w:color w:val="1F4E79"/>
          <w:sz w:val="30"/>
          <w:szCs w:val="30"/>
        </w:rPr>
        <w:t xml:space="preserve">2. Rollout Strategy — Phased, Not Big Bang</w:t>
      </w:r>
    </w:p>
    <w:p>
      <w:pPr>
        <w:spacing w:after="160" w:line="288"/>
      </w:pPr>
      <w:r>
        <w:rPr>
          <w:sz w:val="22"/>
          <w:szCs w:val="22"/>
        </w:rPr>
        <w:t xml:space="preserve">Rolling Sentry out to an entire org at once produces alert fatigue and noisy dashboards nobody trusts. The recommended sequence:</w:t>
      </w:r>
    </w:p>
    <w:p>
      <w:pPr>
        <w:pStyle w:val="ListParagraph"/>
        <w:numPr>
          <w:ilvl w:val="0"/>
          <w:numId w:val="3"/>
        </w:numPr>
        <w:spacing w:after="80" w:line="276"/>
      </w:pPr>
      <w:r>
        <w:rPr>
          <w:sz w:val="22"/>
          <w:szCs w:val="22"/>
        </w:rPr>
        <w:t xml:space="preserve">Phase 0 — Pilot on one service. Pick a single high-traffic, medium-risk service. Prove signal quality before scaling.</w:t>
      </w:r>
    </w:p>
    <w:p>
      <w:pPr>
        <w:pStyle w:val="ListParagraph"/>
        <w:numPr>
          <w:ilvl w:val="0"/>
          <w:numId w:val="3"/>
        </w:numPr>
        <w:spacing w:after="80" w:line="276"/>
      </w:pPr>
      <w:r>
        <w:rPr>
          <w:sz w:val="22"/>
          <w:szCs w:val="22"/>
        </w:rPr>
        <w:t xml:space="preserve">Phase 1 — Core error capture. Wire up the SDK, source maps, and basic alerting for that service only.</w:t>
      </w:r>
    </w:p>
    <w:p>
      <w:pPr>
        <w:pStyle w:val="ListParagraph"/>
        <w:numPr>
          <w:ilvl w:val="0"/>
          <w:numId w:val="3"/>
        </w:numPr>
        <w:spacing w:after="80" w:line="276"/>
      </w:pPr>
      <w:r>
        <w:rPr>
          <w:sz w:val="22"/>
          <w:szCs w:val="22"/>
        </w:rPr>
        <w:t xml:space="preserve">Phase 2 — Tune noise. Spend 1–2 weeks triaging real issues, muting known-noisy errors, and adjusting sample rates.</w:t>
      </w:r>
    </w:p>
    <w:p>
      <w:pPr>
        <w:pStyle w:val="ListParagraph"/>
        <w:numPr>
          <w:ilvl w:val="0"/>
          <w:numId w:val="3"/>
        </w:numPr>
        <w:spacing w:after="80" w:line="276"/>
      </w:pPr>
      <w:r>
        <w:rPr>
          <w:sz w:val="22"/>
          <w:szCs w:val="22"/>
        </w:rPr>
        <w:t xml:space="preserve">Phase 3 — Expand horizontally. Roll the proven config to remaining services using a shared, versioned SDK wrapper (see Section 4).</w:t>
      </w:r>
    </w:p>
    <w:p>
      <w:pPr>
        <w:pStyle w:val="ListParagraph"/>
        <w:numPr>
          <w:ilvl w:val="0"/>
          <w:numId w:val="3"/>
        </w:numPr>
        <w:spacing w:after="80" w:line="276"/>
      </w:pPr>
      <w:r>
        <w:rPr>
          <w:sz w:val="22"/>
          <w:szCs w:val="22"/>
        </w:rPr>
        <w:t xml:space="preserve">Phase 4 — Add tracing &amp; release health. Layer in performance monitoring and deploy tracking once error triage is stable.</w:t>
      </w:r>
    </w:p>
    <w:p>
      <w:pPr>
        <w:pStyle w:val="ListParagraph"/>
        <w:numPr>
          <w:ilvl w:val="0"/>
          <w:numId w:val="3"/>
        </w:numPr>
        <w:spacing w:after="80" w:line="276"/>
      </w:pPr>
      <w:r>
        <w:rPr>
          <w:sz w:val="22"/>
          <w:szCs w:val="22"/>
        </w:rPr>
        <w:t xml:space="preserve">Phase 5 — Institutionalize. Bake Sentry checks into on-call runbooks, PR templates, and post-incident reviews.</w:t>
      </w:r>
    </w:p>
    <w:p>
      <w:pPr>
        <w:pStyle w:val="Heading1"/>
        <w:spacing w:after="160" w:before="360"/>
      </w:pPr>
      <w:r>
        <w:rPr>
          <w:b/>
          <w:bCs/>
          <w:color w:val="1F4E79"/>
          <w:sz w:val="30"/>
          <w:szCs w:val="30"/>
        </w:rPr>
        <w:t xml:space="preserve">3. Project &amp; Team Architecture in Sentry</w:t>
      </w:r>
    </w:p>
    <w:p>
      <w:pPr>
        <w:pStyle w:val="Heading2"/>
        <w:spacing w:after="120" w:before="280"/>
      </w:pPr>
      <w:r>
        <w:rPr>
          <w:b/>
          <w:bCs/>
          <w:color w:val="2E74B5"/>
          <w:sz w:val="24"/>
          <w:szCs w:val="24"/>
        </w:rPr>
        <w:t xml:space="preserve">3.1 Organize projects around deploy boundaries, not teams</w:t>
      </w:r>
    </w:p>
    <w:p>
      <w:pPr>
        <w:spacing w:after="160" w:line="288"/>
      </w:pPr>
      <w:r>
        <w:rPr>
          <w:sz w:val="22"/>
          <w:szCs w:val="22"/>
        </w:rPr>
        <w:t xml:space="preserve">Create one Sentry project per deployable unit (a service, a frontend app, a mobile app) rather than one giant project per team. This keeps alert routing, release tracking, and ownership clean as the org grows.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color="auto" w:val="clear"/>
          </w:tcPr>
          <w:p>
            <w:r>
              <w:rPr>
                <w:b/>
                <w:bCs/>
                <w:color w:val="FFFFFF"/>
                <w:sz w:val="20"/>
                <w:szCs w:val="20"/>
              </w:rPr>
              <w:t xml:space="preserve">Structure</w:t>
            </w:r>
          </w:p>
        </w:tc>
        <w:tc>
          <w:tcPr>
            <w:tcW w:type="dxa" w:w="3000"/>
            <w:shd w:fill="1F4E79" w:color="auto" w:val="clear"/>
          </w:tcPr>
          <w:p>
            <w:r>
              <w:rPr>
                <w:b/>
                <w:bCs/>
                <w:color w:val="FFFFFF"/>
                <w:sz w:val="20"/>
                <w:szCs w:val="20"/>
              </w:rPr>
              <w:t xml:space="preserve">When to use</w:t>
            </w:r>
          </w:p>
        </w:tc>
        <w:tc>
          <w:tcPr>
            <w:tcW w:type="dxa" w:w="3000"/>
            <w:shd w:fill="1F4E79" w:color="auto" w:val="clear"/>
          </w:tcPr>
          <w:p>
            <w:r>
              <w:rPr>
                <w:b/>
                <w:bCs/>
                <w:color w:val="FFFFFF"/>
                <w:sz w:val="20"/>
                <w:szCs w:val="20"/>
              </w:rPr>
              <w:t xml:space="preserve">Trade-off</w:t>
            </w:r>
          </w:p>
        </w:tc>
      </w:tr>
      <w:tr>
        <w:tc>
          <w:tcPr>
            <w:tcW w:type="dxa" w:w="3000"/>
            <w:shd w:fill="FFFFFF" w:color="auto" w:val="clear"/>
          </w:tcPr>
          <w:p>
            <w:r>
              <w:rPr>
                <w:sz w:val="20"/>
                <w:szCs w:val="20"/>
              </w:rPr>
              <w:t xml:space="preserve">One project per service</w:t>
            </w:r>
          </w:p>
        </w:tc>
        <w:tc>
          <w:tcPr>
            <w:tcW w:type="dxa" w:w="3000"/>
            <w:shd w:fill="FFFFFF" w:color="auto" w:val="clear"/>
          </w:tcPr>
          <w:p>
            <w:r>
              <w:rPr>
                <w:sz w:val="20"/>
                <w:szCs w:val="20"/>
              </w:rPr>
              <w:t xml:space="preserve">Microservices, independent deploy cadence</w:t>
            </w:r>
          </w:p>
        </w:tc>
        <w:tc>
          <w:tcPr>
            <w:tcW w:type="dxa" w:w="3000"/>
            <w:shd w:fill="FFFFFF" w:color="auto" w:val="clear"/>
          </w:tcPr>
          <w:p>
            <w:r>
              <w:rPr>
                <w:sz w:val="20"/>
                <w:szCs w:val="20"/>
              </w:rPr>
              <w:t xml:space="preserve">More projects to configure, but precise ownership</w:t>
            </w:r>
          </w:p>
        </w:tc>
      </w:tr>
      <w:tr>
        <w:tc>
          <w:tcPr>
            <w:tcW w:type="dxa" w:w="3000"/>
            <w:shd w:fill="F5F9FC" w:color="auto" w:val="clear"/>
          </w:tcPr>
          <w:p>
            <w:r>
              <w:rPr>
                <w:sz w:val="20"/>
                <w:szCs w:val="20"/>
              </w:rPr>
              <w:t xml:space="preserve">One project per team</w:t>
            </w:r>
          </w:p>
        </w:tc>
        <w:tc>
          <w:tcPr>
            <w:tcW w:type="dxa" w:w="3000"/>
            <w:shd w:fill="F5F9FC" w:color="auto" w:val="clear"/>
          </w:tcPr>
          <w:p>
            <w:r>
              <w:rPr>
                <w:sz w:val="20"/>
                <w:szCs w:val="20"/>
              </w:rPr>
              <w:t xml:space="preserve">Small org, monolith-heavy</w:t>
            </w:r>
          </w:p>
        </w:tc>
        <w:tc>
          <w:tcPr>
            <w:tcW w:type="dxa" w:w="3000"/>
            <w:shd w:fill="F5F9FC" w:color="auto" w:val="clear"/>
          </w:tcPr>
          <w:p>
            <w:r>
              <w:rPr>
                <w:sz w:val="20"/>
                <w:szCs w:val="20"/>
              </w:rPr>
              <w:t xml:space="preserve">Simpler setup, noisier ownership signals</w:t>
            </w:r>
          </w:p>
        </w:tc>
      </w:tr>
      <w:tr>
        <w:tc>
          <w:tcPr>
            <w:tcW w:type="dxa" w:w="3000"/>
            <w:shd w:fill="FFFFFF" w:color="auto" w:val="clear"/>
          </w:tcPr>
          <w:p>
            <w:r>
              <w:rPr>
                <w:sz w:val="20"/>
                <w:szCs w:val="20"/>
              </w:rPr>
              <w:t xml:space="preserve">One project per environment</w:t>
            </w:r>
          </w:p>
        </w:tc>
        <w:tc>
          <w:tcPr>
            <w:tcW w:type="dxa" w:w="3000"/>
            <w:shd w:fill="FFFFFF" w:color="auto" w:val="clear"/>
          </w:tcPr>
          <w:p>
            <w:r>
              <w:rPr>
                <w:sz w:val="20"/>
                <w:szCs w:val="20"/>
              </w:rPr>
              <w:t xml:space="preserve">Never recommended alone</w:t>
            </w:r>
          </w:p>
        </w:tc>
        <w:tc>
          <w:tcPr>
            <w:tcW w:type="dxa" w:w="3000"/>
            <w:shd w:fill="FFFFFF" w:color="auto" w:val="clear"/>
          </w:tcPr>
          <w:p>
            <w:r>
              <w:rPr>
                <w:sz w:val="20"/>
                <w:szCs w:val="20"/>
              </w:rPr>
              <w:t xml:space="preserve">Combine with the above — use environments as a tag, not a project split</w:t>
            </w:r>
          </w:p>
        </w:tc>
      </w:tr>
    </w:tbl>
    <w:p>
      <w:pPr>
        <w:spacing w:before="160"/>
      </w:pPr>
    </w:p>
    <w:p>
      <w:pPr>
        <w:pStyle w:val="Heading2"/>
        <w:spacing w:after="120" w:before="280"/>
      </w:pPr>
      <w:r>
        <w:rPr>
          <w:b/>
          <w:bCs/>
          <w:color w:val="2E74B5"/>
          <w:sz w:val="24"/>
          <w:szCs w:val="24"/>
        </w:rPr>
        <w:t xml:space="preserve">3.2 Environments and tags</w:t>
      </w:r>
    </w:p>
    <w:p>
      <w:pPr>
        <w:spacing w:after="160" w:line="288"/>
      </w:pPr>
      <w:r>
        <w:rPr>
          <w:sz w:val="22"/>
          <w:szCs w:val="22"/>
        </w:rPr>
        <w:t xml:space="preserve">Use Sentry's environment field (production, staging, dev) inside a single project rather than duplicating projects per environment. Combine this with consistent custom tags so issues can be filtered and routed reliably:</w:t>
      </w:r>
    </w:p>
    <w:p>
      <w:pPr>
        <w:pStyle w:val="ListParagraph"/>
        <w:numPr>
          <w:ilvl w:val="0"/>
          <w:numId w:val="2"/>
        </w:numPr>
        <w:spacing w:after="80" w:line="276"/>
      </w:pPr>
      <w:r>
        <w:rPr>
          <w:sz w:val="22"/>
          <w:szCs w:val="22"/>
        </w:rPr>
        <w:t xml:space="preserve">service.version — the deployed release/commit SHA</w:t>
      </w:r>
    </w:p>
    <w:p>
      <w:pPr>
        <w:pStyle w:val="ListParagraph"/>
        <w:numPr>
          <w:ilvl w:val="0"/>
          <w:numId w:val="2"/>
        </w:numPr>
        <w:spacing w:after="80" w:line="276"/>
      </w:pPr>
      <w:r>
        <w:rPr>
          <w:sz w:val="22"/>
          <w:szCs w:val="22"/>
        </w:rPr>
        <w:t xml:space="preserve">customer.tier — for prioritizing enterprise-impacting bugs</w:t>
      </w:r>
    </w:p>
    <w:p>
      <w:pPr>
        <w:pStyle w:val="ListParagraph"/>
        <w:numPr>
          <w:ilvl w:val="0"/>
          <w:numId w:val="2"/>
        </w:numPr>
        <w:spacing w:after="80" w:line="276"/>
      </w:pPr>
      <w:r>
        <w:rPr>
          <w:sz w:val="22"/>
          <w:szCs w:val="22"/>
        </w:rPr>
        <w:t xml:space="preserve">feature.flag — active flags at time of error, for correlating regressions</w:t>
      </w:r>
    </w:p>
    <w:p>
      <w:pPr>
        <w:pStyle w:val="ListParagraph"/>
        <w:numPr>
          <w:ilvl w:val="0"/>
          <w:numId w:val="2"/>
        </w:numPr>
        <w:spacing w:after="80" w:line="276"/>
      </w:pPr>
      <w:r>
        <w:rPr>
          <w:sz w:val="22"/>
          <w:szCs w:val="22"/>
        </w:rPr>
        <w:t xml:space="preserve">request.region — for geo-specific infra issues</w:t>
      </w:r>
    </w:p>
    <w:p>
      <w:pPr>
        <w:pStyle w:val="Heading1"/>
        <w:spacing w:after="160" w:before="360"/>
      </w:pPr>
      <w:r>
        <w:rPr>
          <w:b/>
          <w:bCs/>
          <w:color w:val="1F4E79"/>
          <w:sz w:val="30"/>
          <w:szCs w:val="30"/>
        </w:rPr>
        <w:t xml:space="preserve">4. SDK Integration — Do It Once, Wrap It, Reuse It</w:t>
      </w:r>
    </w:p>
    <w:p>
      <w:pPr>
        <w:spacing w:after="160" w:line="288"/>
      </w:pPr>
      <w:r>
        <w:rPr>
          <w:sz w:val="22"/>
          <w:szCs w:val="22"/>
        </w:rPr>
        <w:t xml:space="preserve">Don't let every team hand-configure the Sentry SDK. A senior developer builds a thin internal wrapper package (e.g. @yourorg/observability) that pins the SDK version, bakes in standard defaults, and exposes a minimal API. This prevents config drift and makes org-wide policy changes (like PII scrubbing) a one-line version bump instead of a 40-repo migration.</w:t>
      </w:r>
    </w:p>
    <w:p>
      <w:pPr>
        <w:pBdr>
          <w:top w:val="single" w:color="CCCCCC" w:sz="2"/>
          <w:bottom w:val="single" w:color="CCCCCC" w:sz="2"/>
          <w:left w:val="single" w:color="CCCCCC" w:sz="2"/>
          <w:right w:val="single" w:color="CCCCCC" w:sz="2"/>
        </w:pBdr>
        <w:shd w:fill="F2F2F2" w:color="auto" w:val="clear"/>
        <w:spacing w:after="160" w:before="80"/>
        <w:ind w:left="200" w:right="200"/>
      </w:pPr>
      <w:r>
        <w:rPr>
          <w:rFonts w:ascii="Consolas" w:cs="Consolas" w:eastAsia="Consolas" w:hAnsi="Consolas"/>
          <w:sz w:val="19"/>
          <w:szCs w:val="19"/>
        </w:rPr>
        <w:t xml:space="preserve">// packages/observability/src/init.ts</w:t>
      </w:r>
      <w:r>
        <w:rPr>
          <w:rFonts w:ascii="Consolas" w:cs="Consolas" w:eastAsia="Consolas" w:hAnsi="Consolas"/>
          <w:sz w:val="19"/>
          <w:szCs w:val="19"/>
        </w:rPr>
        <w:br/>
        <w:t xml:space="preserve">import * as Sentry from "@sentry/node";</w:t>
      </w:r>
      <w:r>
        <w:rPr>
          <w:rFonts w:ascii="Consolas" w:cs="Consolas" w:eastAsia="Consolas" w:hAnsi="Consolas"/>
          <w:sz w:val="19"/>
          <w:szCs w:val="19"/>
        </w:rPr>
        <w:br/>
        <w:t xml:space="preserve"/>
      </w:r>
      <w:r>
        <w:rPr>
          <w:rFonts w:ascii="Consolas" w:cs="Consolas" w:eastAsia="Consolas" w:hAnsi="Consolas"/>
          <w:sz w:val="19"/>
          <w:szCs w:val="19"/>
        </w:rPr>
        <w:br/>
        <w:t xml:space="preserve">export function initObservability(opts: { service: string; release: string }) {</w:t>
      </w:r>
      <w:r>
        <w:rPr>
          <w:rFonts w:ascii="Consolas" w:cs="Consolas" w:eastAsia="Consolas" w:hAnsi="Consolas"/>
          <w:sz w:val="19"/>
          <w:szCs w:val="19"/>
        </w:rPr>
        <w:br/>
        <w:t xml:space="preserve">  Sentry.init({</w:t>
      </w:r>
      <w:r>
        <w:rPr>
          <w:rFonts w:ascii="Consolas" w:cs="Consolas" w:eastAsia="Consolas" w:hAnsi="Consolas"/>
          <w:sz w:val="19"/>
          <w:szCs w:val="19"/>
        </w:rPr>
        <w:br/>
        <w:t xml:space="preserve">    dsn: process.env.SENTRY_DSN,</w:t>
      </w:r>
      <w:r>
        <w:rPr>
          <w:rFonts w:ascii="Consolas" w:cs="Consolas" w:eastAsia="Consolas" w:hAnsi="Consolas"/>
          <w:sz w:val="19"/>
          <w:szCs w:val="19"/>
        </w:rPr>
        <w:br/>
        <w:t xml:space="preserve">    environment: process.env.NODE_ENV,</w:t>
      </w:r>
      <w:r>
        <w:rPr>
          <w:rFonts w:ascii="Consolas" w:cs="Consolas" w:eastAsia="Consolas" w:hAnsi="Consolas"/>
          <w:sz w:val="19"/>
          <w:szCs w:val="19"/>
        </w:rPr>
        <w:br/>
        <w:t xml:space="preserve">    release: opts.release,</w:t>
      </w:r>
      <w:r>
        <w:rPr>
          <w:rFonts w:ascii="Consolas" w:cs="Consolas" w:eastAsia="Consolas" w:hAnsi="Consolas"/>
          <w:sz w:val="19"/>
          <w:szCs w:val="19"/>
        </w:rPr>
        <w:br/>
        <w:t xml:space="preserve">    tracesSampleRate: process.env.NODE_ENV === "production" ? 0.1 : 1.0,</w:t>
      </w:r>
      <w:r>
        <w:rPr>
          <w:rFonts w:ascii="Consolas" w:cs="Consolas" w:eastAsia="Consolas" w:hAnsi="Consolas"/>
          <w:sz w:val="19"/>
          <w:szCs w:val="19"/>
        </w:rPr>
        <w:br/>
        <w:t xml:space="preserve">    beforeSend: scrubPII,</w:t>
      </w:r>
      <w:r>
        <w:rPr>
          <w:rFonts w:ascii="Consolas" w:cs="Consolas" w:eastAsia="Consolas" w:hAnsi="Consolas"/>
          <w:sz w:val="19"/>
          <w:szCs w:val="19"/>
        </w:rPr>
        <w:br/>
        <w:t xml:space="preserve">    integrations: [Sentry.httpIntegration(), Sentry.postgresIntegration()],</w:t>
      </w:r>
      <w:r>
        <w:rPr>
          <w:rFonts w:ascii="Consolas" w:cs="Consolas" w:eastAsia="Consolas" w:hAnsi="Consolas"/>
          <w:sz w:val="19"/>
          <w:szCs w:val="19"/>
        </w:rPr>
        <w:br/>
        <w:t xml:space="preserve">  });</w:t>
      </w:r>
      <w:r>
        <w:rPr>
          <w:rFonts w:ascii="Consolas" w:cs="Consolas" w:eastAsia="Consolas" w:hAnsi="Consolas"/>
          <w:sz w:val="19"/>
          <w:szCs w:val="19"/>
        </w:rPr>
        <w:br/>
        <w:t xml:space="preserve">  Sentry.setTag("service", opts.service);</w:t>
      </w:r>
      <w:r>
        <w:rPr>
          <w:rFonts w:ascii="Consolas" w:cs="Consolas" w:eastAsia="Consolas" w:hAnsi="Consolas"/>
          <w:sz w:val="19"/>
          <w:szCs w:val="19"/>
        </w:rPr>
        <w:br/>
        <w:t xml:space="preserve">}</w:t>
      </w:r>
    </w:p>
    <w:p>
      <w:pPr>
        <w:spacing w:after="160" w:line="288"/>
      </w:pPr>
      <w:r>
        <w:rPr>
          <w:sz w:val="22"/>
          <w:szCs w:val="22"/>
        </w:rPr>
        <w:t xml:space="preserve">Key configuration decisions to make deliberately, not by default:</w:t>
      </w:r>
    </w:p>
    <w:p>
      <w:pPr>
        <w:pStyle w:val="ListParagraph"/>
        <w:numPr>
          <w:ilvl w:val="0"/>
          <w:numId w:val="2"/>
        </w:numPr>
        <w:spacing w:after="80" w:line="276"/>
      </w:pPr>
      <w:r>
        <w:rPr>
          <w:sz w:val="22"/>
          <w:szCs w:val="22"/>
        </w:rPr>
        <w:t xml:space="preserve">tracesSampleRate — start low (5–10%) in production to control cost; raise temporarily during incident investigation.</w:t>
      </w:r>
    </w:p>
    <w:p>
      <w:pPr>
        <w:pStyle w:val="ListParagraph"/>
        <w:numPr>
          <w:ilvl w:val="0"/>
          <w:numId w:val="2"/>
        </w:numPr>
        <w:spacing w:after="80" w:line="276"/>
      </w:pPr>
      <w:r>
        <w:rPr>
          <w:sz w:val="22"/>
          <w:szCs w:val="22"/>
        </w:rPr>
        <w:t xml:space="preserve">beforeSend / beforeSendTransaction — mandatory PII-scrubbing hook; never ship raw request bodies or auth headers to Sentry.</w:t>
      </w:r>
    </w:p>
    <w:p>
      <w:pPr>
        <w:pStyle w:val="ListParagraph"/>
        <w:numPr>
          <w:ilvl w:val="0"/>
          <w:numId w:val="2"/>
        </w:numPr>
        <w:spacing w:after="80" w:line="276"/>
      </w:pPr>
      <w:r>
        <w:rPr>
          <w:sz w:val="22"/>
          <w:szCs w:val="22"/>
        </w:rPr>
        <w:t xml:space="preserve">release naming — tie it to your CI commit SHA or semantic version so every error maps to an exact deploy.</w:t>
      </w:r>
    </w:p>
    <w:p>
      <w:pPr>
        <w:pStyle w:val="ListParagraph"/>
        <w:numPr>
          <w:ilvl w:val="0"/>
          <w:numId w:val="2"/>
        </w:numPr>
        <w:spacing w:after="80" w:line="276"/>
      </w:pPr>
      <w:r>
        <w:rPr>
          <w:sz w:val="22"/>
          <w:szCs w:val="22"/>
        </w:rPr>
        <w:t xml:space="preserve">attachStacktrace and sendDefaultPii — explicitly set to false unless legal/privacy has signed off.</w:t>
      </w:r>
    </w:p>
    <w:p>
      <w:pPr>
        <w:pStyle w:val="Heading1"/>
        <w:spacing w:after="160" w:before="360"/>
      </w:pPr>
      <w:r>
        <w:rPr>
          <w:b/>
          <w:bCs/>
          <w:color w:val="1F4E79"/>
          <w:sz w:val="30"/>
          <w:szCs w:val="30"/>
        </w:rPr>
        <w:t xml:space="preserve">5. Source Maps and Debug Symbols</w:t>
      </w:r>
    </w:p>
    <w:p>
      <w:pPr>
        <w:spacing w:after="160" w:line="288"/>
      </w:pPr>
      <w:r>
        <w:rPr>
          <w:sz w:val="22"/>
          <w:szCs w:val="22"/>
        </w:rPr>
        <w:t xml:space="preserve">Minified frontend stack traces are useless without source maps, and native crash reports are useless without debug symbols (dSYMs, ProGuard mappings). This is the step teams most often skip, then wonder why Sentry issues show only obfuscated line numbers.</w:t>
      </w:r>
    </w:p>
    <w:p>
      <w:pPr>
        <w:pStyle w:val="ListParagraph"/>
        <w:numPr>
          <w:ilvl w:val="0"/>
          <w:numId w:val="3"/>
        </w:numPr>
        <w:spacing w:after="80" w:line="276"/>
      </w:pPr>
      <w:r>
        <w:rPr>
          <w:sz w:val="22"/>
          <w:szCs w:val="22"/>
        </w:rPr>
        <w:t xml:space="preserve">Upload source maps as part of the CI/CD pipeline, immediately after build and before deploy — never manually.</w:t>
      </w:r>
    </w:p>
    <w:p>
      <w:pPr>
        <w:pStyle w:val="ListParagraph"/>
        <w:numPr>
          <w:ilvl w:val="0"/>
          <w:numId w:val="3"/>
        </w:numPr>
        <w:spacing w:after="80" w:line="276"/>
      </w:pPr>
      <w:r>
        <w:rPr>
          <w:sz w:val="22"/>
          <w:szCs w:val="22"/>
        </w:rPr>
        <w:t xml:space="preserve">Use the Sentry CLI or bundler plugin (Webpack/Vite/Rollup) to automate upload and release association.</w:t>
      </w:r>
    </w:p>
    <w:p>
      <w:pPr>
        <w:pStyle w:val="ListParagraph"/>
        <w:numPr>
          <w:ilvl w:val="0"/>
          <w:numId w:val="3"/>
        </w:numPr>
        <w:spacing w:after="80" w:line="276"/>
      </w:pPr>
      <w:r>
        <w:rPr>
          <w:sz w:val="22"/>
          <w:szCs w:val="22"/>
        </w:rPr>
        <w:t xml:space="preserve">Delete source maps from your public CDN after upload so they aren't served to end users, only to Sentry.</w:t>
      </w:r>
    </w:p>
    <w:p>
      <w:pPr>
        <w:pBdr>
          <w:top w:val="single" w:color="CCCCCC" w:sz="2"/>
          <w:bottom w:val="single" w:color="CCCCCC" w:sz="2"/>
          <w:left w:val="single" w:color="CCCCCC" w:sz="2"/>
          <w:right w:val="single" w:color="CCCCCC" w:sz="2"/>
        </w:pBdr>
        <w:shd w:fill="F2F2F2" w:color="auto" w:val="clear"/>
        <w:spacing w:after="160" w:before="80"/>
        <w:ind w:left="200" w:right="200"/>
      </w:pPr>
      <w:r>
        <w:rPr>
          <w:rFonts w:ascii="Consolas" w:cs="Consolas" w:eastAsia="Consolas" w:hAnsi="Consolas"/>
          <w:sz w:val="19"/>
          <w:szCs w:val="19"/>
        </w:rPr>
        <w:t xml:space="preserve"># CI pipeline step</w:t>
      </w:r>
      <w:r>
        <w:rPr>
          <w:rFonts w:ascii="Consolas" w:cs="Consolas" w:eastAsia="Consolas" w:hAnsi="Consolas"/>
          <w:sz w:val="19"/>
          <w:szCs w:val="19"/>
        </w:rPr>
        <w:br/>
        <w:t xml:space="preserve">sentry-cli releases new "$RELEASE"</w:t>
      </w:r>
      <w:r>
        <w:rPr>
          <w:rFonts w:ascii="Consolas" w:cs="Consolas" w:eastAsia="Consolas" w:hAnsi="Consolas"/>
          <w:sz w:val="19"/>
          <w:szCs w:val="19"/>
        </w:rPr>
        <w:br/>
        <w:t xml:space="preserve">sentry-cli releases files "$RELEASE" upload-sourcemaps ./dist --url-prefix "~/static/js"</w:t>
      </w:r>
      <w:r>
        <w:rPr>
          <w:rFonts w:ascii="Consolas" w:cs="Consolas" w:eastAsia="Consolas" w:hAnsi="Consolas"/>
          <w:sz w:val="19"/>
          <w:szCs w:val="19"/>
        </w:rPr>
        <w:br/>
        <w:t xml:space="preserve">sentry-cli releases finalize "$RELEASE"</w:t>
      </w:r>
      <w:r>
        <w:rPr>
          <w:rFonts w:ascii="Consolas" w:cs="Consolas" w:eastAsia="Consolas" w:hAnsi="Consolas"/>
          <w:sz w:val="19"/>
          <w:szCs w:val="19"/>
        </w:rPr>
        <w:br/>
        <w:t xml:space="preserve">sentry-cli releases deploys "$RELEASE" new -e production</w:t>
      </w:r>
    </w:p>
    <w:p>
      <w:pPr>
        <w:pStyle w:val="Heading1"/>
        <w:spacing w:after="160" w:before="360"/>
      </w:pPr>
      <w:r>
        <w:rPr>
          <w:b/>
          <w:bCs/>
          <w:color w:val="1F4E79"/>
          <w:sz w:val="30"/>
          <w:szCs w:val="30"/>
        </w:rPr>
        <w:t xml:space="preserve">6. Alerting Strategy — Signal Over Noise</w:t>
      </w:r>
    </w:p>
    <w:p>
      <w:pPr>
        <w:spacing w:after="160" w:line="288"/>
      </w:pPr>
      <w:r>
        <w:rPr>
          <w:sz w:val="22"/>
          <w:szCs w:val="22"/>
        </w:rPr>
        <w:t xml:space="preserve">The single biggest failure mode with Sentry is alert fatigue: every error pings Slack, engineers mute the channel, and real regressions get missed. Design alerts around impact, not occurrence.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color="auto" w:val="clear"/>
          </w:tcPr>
          <w:p>
            <w:r>
              <w:rPr>
                <w:b/>
                <w:bCs/>
                <w:color w:val="FFFFFF"/>
                <w:sz w:val="20"/>
                <w:szCs w:val="20"/>
              </w:rPr>
              <w:t xml:space="preserve">Alert type</w:t>
            </w:r>
          </w:p>
        </w:tc>
        <w:tc>
          <w:tcPr>
            <w:tcW w:type="dxa" w:w="3000"/>
            <w:shd w:fill="1F4E79" w:color="auto" w:val="clear"/>
          </w:tcPr>
          <w:p>
            <w:r>
              <w:rPr>
                <w:b/>
                <w:bCs/>
                <w:color w:val="FFFFFF"/>
                <w:sz w:val="20"/>
                <w:szCs w:val="20"/>
              </w:rPr>
              <w:t xml:space="preserve">Trigger condition</w:t>
            </w:r>
          </w:p>
        </w:tc>
        <w:tc>
          <w:tcPr>
            <w:tcW w:type="dxa" w:w="3000"/>
            <w:shd w:fill="1F4E79" w:color="auto" w:val="clear"/>
          </w:tcPr>
          <w:p>
            <w:r>
              <w:rPr>
                <w:b/>
                <w:bCs/>
                <w:color w:val="FFFFFF"/>
                <w:sz w:val="20"/>
                <w:szCs w:val="20"/>
              </w:rPr>
              <w:t xml:space="preserve">Destination</w:t>
            </w:r>
          </w:p>
        </w:tc>
      </w:tr>
      <w:tr>
        <w:tc>
          <w:tcPr>
            <w:tcW w:type="dxa" w:w="3000"/>
            <w:shd w:fill="FFFFFF" w:color="auto" w:val="clear"/>
          </w:tcPr>
          <w:p>
            <w:r>
              <w:rPr>
                <w:sz w:val="20"/>
                <w:szCs w:val="20"/>
              </w:rPr>
              <w:t xml:space="preserve">New issue, high severity</w:t>
            </w:r>
          </w:p>
        </w:tc>
        <w:tc>
          <w:tcPr>
            <w:tcW w:type="dxa" w:w="3000"/>
            <w:shd w:fill="FFFFFF" w:color="auto" w:val="clear"/>
          </w:tcPr>
          <w:p>
            <w:r>
              <w:rPr>
                <w:sz w:val="20"/>
                <w:szCs w:val="20"/>
              </w:rPr>
              <w:t xml:space="preserve">First seen + affects &gt; N users</w:t>
            </w:r>
          </w:p>
        </w:tc>
        <w:tc>
          <w:tcPr>
            <w:tcW w:type="dxa" w:w="3000"/>
            <w:shd w:fill="FFFFFF" w:color="auto" w:val="clear"/>
          </w:tcPr>
          <w:p>
            <w:r>
              <w:rPr>
                <w:sz w:val="20"/>
                <w:szCs w:val="20"/>
              </w:rPr>
              <w:t xml:space="preserve">PagerDuty / on-call</w:t>
            </w:r>
          </w:p>
        </w:tc>
      </w:tr>
      <w:tr>
        <w:tc>
          <w:tcPr>
            <w:tcW w:type="dxa" w:w="3000"/>
            <w:shd w:fill="F5F9FC" w:color="auto" w:val="clear"/>
          </w:tcPr>
          <w:p>
            <w:r>
              <w:rPr>
                <w:sz w:val="20"/>
                <w:szCs w:val="20"/>
              </w:rPr>
              <w:t xml:space="preserve">Regression</w:t>
            </w:r>
          </w:p>
        </w:tc>
        <w:tc>
          <w:tcPr>
            <w:tcW w:type="dxa" w:w="3000"/>
            <w:shd w:fill="F5F9FC" w:color="auto" w:val="clear"/>
          </w:tcPr>
          <w:p>
            <w:r>
              <w:rPr>
                <w:sz w:val="20"/>
                <w:szCs w:val="20"/>
              </w:rPr>
              <w:t xml:space="preserve">Resolved issue reoccurs</w:t>
            </w:r>
          </w:p>
        </w:tc>
        <w:tc>
          <w:tcPr>
            <w:tcW w:type="dxa" w:w="3000"/>
            <w:shd w:fill="F5F9FC" w:color="auto" w:val="clear"/>
          </w:tcPr>
          <w:p>
            <w:r>
              <w:rPr>
                <w:sz w:val="20"/>
                <w:szCs w:val="20"/>
              </w:rPr>
              <w:t xml:space="preserve">Slack #eng-alerts</w:t>
            </w:r>
          </w:p>
        </w:tc>
      </w:tr>
      <w:tr>
        <w:tc>
          <w:tcPr>
            <w:tcW w:type="dxa" w:w="3000"/>
            <w:shd w:fill="FFFFFF" w:color="auto" w:val="clear"/>
          </w:tcPr>
          <w:p>
            <w:r>
              <w:rPr>
                <w:sz w:val="20"/>
                <w:szCs w:val="20"/>
              </w:rPr>
              <w:t xml:space="preserve">Spike detection</w:t>
            </w:r>
          </w:p>
        </w:tc>
        <w:tc>
          <w:tcPr>
            <w:tcW w:type="dxa" w:w="3000"/>
            <w:shd w:fill="FFFFFF" w:color="auto" w:val="clear"/>
          </w:tcPr>
          <w:p>
            <w:r>
              <w:rPr>
                <w:sz w:val="20"/>
                <w:szCs w:val="20"/>
              </w:rPr>
              <w:t xml:space="preserve">Error rate jumps X% over baseline</w:t>
            </w:r>
          </w:p>
        </w:tc>
        <w:tc>
          <w:tcPr>
            <w:tcW w:type="dxa" w:w="3000"/>
            <w:shd w:fill="FFFFFF" w:color="auto" w:val="clear"/>
          </w:tcPr>
          <w:p>
            <w:r>
              <w:rPr>
                <w:sz w:val="20"/>
                <w:szCs w:val="20"/>
              </w:rPr>
              <w:t xml:space="preserve">PagerDuty</w:t>
            </w:r>
          </w:p>
        </w:tc>
      </w:tr>
      <w:tr>
        <w:tc>
          <w:tcPr>
            <w:tcW w:type="dxa" w:w="3000"/>
            <w:shd w:fill="F5F9FC" w:color="auto" w:val="clear"/>
          </w:tcPr>
          <w:p>
            <w:r>
              <w:rPr>
                <w:sz w:val="20"/>
                <w:szCs w:val="20"/>
              </w:rPr>
              <w:t xml:space="preserve">Release health</w:t>
            </w:r>
          </w:p>
        </w:tc>
        <w:tc>
          <w:tcPr>
            <w:tcW w:type="dxa" w:w="3000"/>
            <w:shd w:fill="F5F9FC" w:color="auto" w:val="clear"/>
          </w:tcPr>
          <w:p>
            <w:r>
              <w:rPr>
                <w:sz w:val="20"/>
                <w:szCs w:val="20"/>
              </w:rPr>
              <w:t xml:space="preserve">Crash-free rate drops below threshold post-deploy</w:t>
            </w:r>
          </w:p>
        </w:tc>
        <w:tc>
          <w:tcPr>
            <w:tcW w:type="dxa" w:w="3000"/>
            <w:shd w:fill="F5F9FC" w:color="auto" w:val="clear"/>
          </w:tcPr>
          <w:p>
            <w:r>
              <w:rPr>
                <w:sz w:val="20"/>
                <w:szCs w:val="20"/>
              </w:rPr>
              <w:t xml:space="preserve">Slack + auto-rollback hook</w:t>
            </w:r>
          </w:p>
        </w:tc>
      </w:tr>
      <w:tr>
        <w:tc>
          <w:tcPr>
            <w:tcW w:type="dxa" w:w="3000"/>
            <w:shd w:fill="FFFFFF" w:color="auto" w:val="clear"/>
          </w:tcPr>
          <w:p>
            <w:r>
              <w:rPr>
                <w:sz w:val="20"/>
                <w:szCs w:val="20"/>
              </w:rPr>
              <w:t xml:space="preserve">Low-priority / known</w:t>
            </w:r>
          </w:p>
        </w:tc>
        <w:tc>
          <w:tcPr>
            <w:tcW w:type="dxa" w:w="3000"/>
            <w:shd w:fill="FFFFFF" w:color="auto" w:val="clear"/>
          </w:tcPr>
          <w:p>
            <w:r>
              <w:rPr>
                <w:sz w:val="20"/>
                <w:szCs w:val="20"/>
              </w:rPr>
              <w:t xml:space="preserve">Everything else</w:t>
            </w:r>
          </w:p>
        </w:tc>
        <w:tc>
          <w:tcPr>
            <w:tcW w:type="dxa" w:w="3000"/>
            <w:shd w:fill="FFFFFF" w:color="auto" w:val="clear"/>
          </w:tcPr>
          <w:p>
            <w:r>
              <w:rPr>
                <w:sz w:val="20"/>
                <w:szCs w:val="20"/>
              </w:rPr>
              <w:t xml:space="preserve">Dashboard only, no push notification</w:t>
            </w:r>
          </w:p>
        </w:tc>
      </w:tr>
    </w:tbl>
    <w:p>
      <w:pPr>
        <w:spacing w:before="160"/>
      </w:pPr>
    </w:p>
    <w:p>
      <w:pPr>
        <w:spacing w:after="160" w:line="288"/>
      </w:pPr>
      <w:r>
        <w:rPr>
          <w:sz w:val="22"/>
          <w:szCs w:val="22"/>
        </w:rPr>
        <w:t xml:space="preserve">Practical rules senior engineers enforce:</w:t>
      </w:r>
    </w:p>
    <w:p>
      <w:pPr>
        <w:pStyle w:val="ListParagraph"/>
        <w:numPr>
          <w:ilvl w:val="0"/>
          <w:numId w:val="2"/>
        </w:numPr>
        <w:spacing w:after="80" w:line="276"/>
      </w:pPr>
      <w:r>
        <w:rPr>
          <w:sz w:val="22"/>
          <w:szCs w:val="22"/>
        </w:rPr>
        <w:t xml:space="preserve">Every alert rule must have a named owner and a documented response action — an alert nobody acts on should be deleted.</w:t>
      </w:r>
    </w:p>
    <w:p>
      <w:pPr>
        <w:pStyle w:val="ListParagraph"/>
        <w:numPr>
          <w:ilvl w:val="0"/>
          <w:numId w:val="2"/>
        </w:numPr>
        <w:spacing w:after="80" w:line="276"/>
      </w:pPr>
      <w:r>
        <w:rPr>
          <w:sz w:val="22"/>
          <w:szCs w:val="22"/>
        </w:rPr>
        <w:t xml:space="preserve">Use issue ownership rules (path-based or team-based) so errors auto-assign to the right team instead of a shared inbox.</w:t>
      </w:r>
    </w:p>
    <w:p>
      <w:pPr>
        <w:pStyle w:val="ListParagraph"/>
        <w:numPr>
          <w:ilvl w:val="0"/>
          <w:numId w:val="2"/>
        </w:numPr>
        <w:spacing w:after="80" w:line="276"/>
      </w:pPr>
      <w:r>
        <w:rPr>
          <w:sz w:val="22"/>
          <w:szCs w:val="22"/>
        </w:rPr>
        <w:t xml:space="preserve">Set a weekly "inbox zero" ritual for the default Sentry issue stream to prevent silent backlog growth.</w:t>
      </w:r>
    </w:p>
    <w:p>
      <w:pPr>
        <w:pStyle w:val="Heading1"/>
        <w:spacing w:after="160" w:before="360"/>
      </w:pPr>
      <w:r>
        <w:rPr>
          <w:b/>
          <w:bCs/>
          <w:color w:val="1F4E79"/>
          <w:sz w:val="30"/>
          <w:szCs w:val="30"/>
        </w:rPr>
        <w:t xml:space="preserve">7. Performance Monitoring (Tracing) Strategy</w:t>
      </w:r>
    </w:p>
    <w:p>
      <w:pPr>
        <w:spacing w:after="160" w:line="288"/>
      </w:pPr>
      <w:r>
        <w:rPr>
          <w:sz w:val="22"/>
          <w:szCs w:val="22"/>
        </w:rPr>
        <w:t xml:space="preserve">Once error capture is stable, layer in distributed tracing to catch latency and throughput regressions before they become outages.</w:t>
      </w:r>
    </w:p>
    <w:p>
      <w:pPr>
        <w:pStyle w:val="ListParagraph"/>
        <w:numPr>
          <w:ilvl w:val="0"/>
          <w:numId w:val="2"/>
        </w:numPr>
        <w:spacing w:after="80" w:line="276"/>
      </w:pPr>
      <w:r>
        <w:rPr>
          <w:sz w:val="22"/>
          <w:szCs w:val="22"/>
        </w:rPr>
        <w:t xml:space="preserve">Instrument service boundaries first (HTTP entry points, queue consumers) before going deep into internal function-level spans.</w:t>
      </w:r>
    </w:p>
    <w:p>
      <w:pPr>
        <w:pStyle w:val="ListParagraph"/>
        <w:numPr>
          <w:ilvl w:val="0"/>
          <w:numId w:val="2"/>
        </w:numPr>
        <w:spacing w:after="80" w:line="276"/>
      </w:pPr>
      <w:r>
        <w:rPr>
          <w:sz w:val="22"/>
          <w:szCs w:val="22"/>
        </w:rPr>
        <w:t xml:space="preserve">Set performance alert thresholds relative to historical p95/p99, not arbitrary fixed numbers.</w:t>
      </w:r>
    </w:p>
    <w:p>
      <w:pPr>
        <w:pStyle w:val="ListParagraph"/>
        <w:numPr>
          <w:ilvl w:val="0"/>
          <w:numId w:val="2"/>
        </w:numPr>
        <w:spacing w:after="80" w:line="276"/>
      </w:pPr>
      <w:r>
        <w:rPr>
          <w:sz w:val="22"/>
          <w:szCs w:val="22"/>
        </w:rPr>
        <w:t xml:space="preserve">Use tracing to catch N+1 query patterns and slow external API calls — these rarely show up as hard errors.</w:t>
      </w:r>
    </w:p>
    <w:p>
      <w:pPr>
        <w:pStyle w:val="ListParagraph"/>
        <w:numPr>
          <w:ilvl w:val="0"/>
          <w:numId w:val="2"/>
        </w:numPr>
        <w:spacing w:after="80" w:line="276"/>
      </w:pPr>
      <w:r>
        <w:rPr>
          <w:sz w:val="22"/>
          <w:szCs w:val="22"/>
        </w:rPr>
        <w:t xml:space="preserve">Correlate traces with releases so a latency regression is traceable to a specific deploy within minutes.</w:t>
      </w:r>
    </w:p>
    <w:p>
      <w:pPr>
        <w:pStyle w:val="Heading1"/>
        <w:spacing w:after="160" w:before="360"/>
      </w:pPr>
      <w:r>
        <w:rPr>
          <w:b/>
          <w:bCs/>
          <w:color w:val="1F4E79"/>
          <w:sz w:val="30"/>
          <w:szCs w:val="30"/>
        </w:rPr>
        <w:t xml:space="preserve">8. Security, Privacy, and Compliance</w:t>
      </w:r>
    </w:p>
    <w:p>
      <w:pPr>
        <w:spacing w:after="160" w:line="288"/>
      </w:pPr>
      <w:r>
        <w:rPr>
          <w:sz w:val="22"/>
          <w:szCs w:val="22"/>
        </w:rPr>
        <w:t xml:space="preserve">Sentry ingests production data, so treat it like any other data store subject to your privacy policy.</w:t>
      </w:r>
    </w:p>
    <w:p>
      <w:pPr>
        <w:pStyle w:val="ListParagraph"/>
        <w:numPr>
          <w:ilvl w:val="0"/>
          <w:numId w:val="2"/>
        </w:numPr>
        <w:spacing w:after="80" w:line="276"/>
      </w:pPr>
      <w:r>
        <w:rPr>
          <w:sz w:val="22"/>
          <w:szCs w:val="22"/>
        </w:rPr>
        <w:t xml:space="preserve">Scrub PII at the SDK level (beforeSend) — never rely solely on Sentry's server-side scrubbing as the only line of defense.</w:t>
      </w:r>
    </w:p>
    <w:p>
      <w:pPr>
        <w:pStyle w:val="ListParagraph"/>
        <w:numPr>
          <w:ilvl w:val="0"/>
          <w:numId w:val="2"/>
        </w:numPr>
        <w:spacing w:after="80" w:line="276"/>
      </w:pPr>
      <w:r>
        <w:rPr>
          <w:sz w:val="22"/>
          <w:szCs w:val="22"/>
        </w:rPr>
        <w:t xml:space="preserve">Explicitly deny-list sensitive fields: passwords, tokens, credit card numbers, SSNs, session cookies.</w:t>
      </w:r>
    </w:p>
    <w:p>
      <w:pPr>
        <w:pStyle w:val="ListParagraph"/>
        <w:numPr>
          <w:ilvl w:val="0"/>
          <w:numId w:val="2"/>
        </w:numPr>
        <w:spacing w:after="80" w:line="276"/>
      </w:pPr>
      <w:r>
        <w:rPr>
          <w:sz w:val="22"/>
          <w:szCs w:val="22"/>
        </w:rPr>
        <w:t xml:space="preserve">Set a data retention policy in the Sentry project settings consistent with your company's data governance rules.</w:t>
      </w:r>
    </w:p>
    <w:p>
      <w:pPr>
        <w:pStyle w:val="ListParagraph"/>
        <w:numPr>
          <w:ilvl w:val="0"/>
          <w:numId w:val="2"/>
        </w:numPr>
        <w:spacing w:after="80" w:line="276"/>
      </w:pPr>
      <w:r>
        <w:rPr>
          <w:sz w:val="22"/>
          <w:szCs w:val="22"/>
        </w:rPr>
        <w:t xml:space="preserve">Restrict project access with SSO and role-based permissions — not everyone needs access to every project's raw payloads.</w:t>
      </w:r>
    </w:p>
    <w:p>
      <w:pPr>
        <w:pStyle w:val="ListParagraph"/>
        <w:numPr>
          <w:ilvl w:val="0"/>
          <w:numId w:val="2"/>
        </w:numPr>
        <w:spacing w:after="80" w:line="276"/>
      </w:pPr>
      <w:r>
        <w:rPr>
          <w:sz w:val="22"/>
          <w:szCs w:val="22"/>
        </w:rPr>
        <w:t xml:space="preserve">For regulated industries, confirm whether self-hosted Sentry or a specific data-residency plan is required.</w:t>
      </w:r>
    </w:p>
    <w:p>
      <w:pPr>
        <w:pStyle w:val="Heading1"/>
        <w:spacing w:after="160" w:before="360"/>
      </w:pPr>
      <w:r>
        <w:rPr>
          <w:b/>
          <w:bCs/>
          <w:color w:val="1F4E79"/>
          <w:sz w:val="30"/>
          <w:szCs w:val="30"/>
        </w:rPr>
        <w:t xml:space="preserve">9. Team Workflow — Making Sentry Part of the Definition of Done</w:t>
      </w:r>
    </w:p>
    <w:p>
      <w:pPr>
        <w:pStyle w:val="ListParagraph"/>
        <w:numPr>
          <w:ilvl w:val="0"/>
          <w:numId w:val="3"/>
        </w:numPr>
        <w:spacing w:after="80" w:line="276"/>
      </w:pPr>
      <w:r>
        <w:rPr>
          <w:sz w:val="22"/>
          <w:szCs w:val="22"/>
        </w:rPr>
        <w:t xml:space="preserve">Triage rotation: a rotating engineer (often paired with on-call) reviews new/unassigned issues daily.</w:t>
      </w:r>
    </w:p>
    <w:p>
      <w:pPr>
        <w:pStyle w:val="ListParagraph"/>
        <w:numPr>
          <w:ilvl w:val="0"/>
          <w:numId w:val="3"/>
        </w:numPr>
        <w:spacing w:after="80" w:line="276"/>
      </w:pPr>
      <w:r>
        <w:rPr>
          <w:sz w:val="22"/>
          <w:szCs w:val="22"/>
        </w:rPr>
        <w:t xml:space="preserve">PR template checkbox: "Have you checked Sentry for related pre-existing errors in this code path?"</w:t>
      </w:r>
    </w:p>
    <w:p>
      <w:pPr>
        <w:pStyle w:val="ListParagraph"/>
        <w:numPr>
          <w:ilvl w:val="0"/>
          <w:numId w:val="3"/>
        </w:numPr>
        <w:spacing w:after="80" w:line="276"/>
      </w:pPr>
      <w:r>
        <w:rPr>
          <w:sz w:val="22"/>
          <w:szCs w:val="22"/>
        </w:rPr>
        <w:t xml:space="preserve">Incident postmortems: link the triggering Sentry issue directly in the postmortem doc for traceability.</w:t>
      </w:r>
    </w:p>
    <w:p>
      <w:pPr>
        <w:pStyle w:val="ListParagraph"/>
        <w:numPr>
          <w:ilvl w:val="0"/>
          <w:numId w:val="3"/>
        </w:numPr>
        <w:spacing w:after="80" w:line="276"/>
      </w:pPr>
      <w:r>
        <w:rPr>
          <w:sz w:val="22"/>
          <w:szCs w:val="22"/>
        </w:rPr>
        <w:t xml:space="preserve">Definition of done: a feature isn't "done" until it ships with meaningful error context (tags, breadcrumbs) attached.</w:t>
      </w:r>
    </w:p>
    <w:p>
      <w:pPr>
        <w:pStyle w:val="ListParagraph"/>
        <w:numPr>
          <w:ilvl w:val="0"/>
          <w:numId w:val="3"/>
        </w:numPr>
        <w:spacing w:after="80" w:line="276"/>
      </w:pPr>
      <w:r>
        <w:rPr>
          <w:sz w:val="22"/>
          <w:szCs w:val="22"/>
        </w:rPr>
        <w:t xml:space="preserve">Quarterly noise audit: review muted/ignored rules and sampling rates as traffic patterns evolve.</w:t>
      </w:r>
    </w:p>
    <w:p>
      <w:pPr>
        <w:pStyle w:val="Heading1"/>
        <w:spacing w:after="160" w:before="360"/>
      </w:pPr>
      <w:r>
        <w:rPr>
          <w:b/>
          <w:bCs/>
          <w:color w:val="1F4E79"/>
          <w:sz w:val="30"/>
          <w:szCs w:val="30"/>
        </w:rPr>
        <w:t xml:space="preserve">10. Common Pitfalls to Avoid</w:t>
      </w:r>
    </w:p>
    <w:p>
      <w:pPr>
        <w:pStyle w:val="ListParagraph"/>
        <w:numPr>
          <w:ilvl w:val="0"/>
          <w:numId w:val="2"/>
        </w:numPr>
        <w:spacing w:after="80" w:line="276"/>
      </w:pPr>
      <w:r>
        <w:rPr>
          <w:sz w:val="22"/>
          <w:szCs w:val="22"/>
        </w:rPr>
        <w:t xml:space="preserve">Setting tracesSampleRate to 1.0 in production without a cost/volume review — this gets expensive fast.</w:t>
      </w:r>
    </w:p>
    <w:p>
      <w:pPr>
        <w:pStyle w:val="ListParagraph"/>
        <w:numPr>
          <w:ilvl w:val="0"/>
          <w:numId w:val="2"/>
        </w:numPr>
        <w:spacing w:after="80" w:line="276"/>
      </w:pPr>
      <w:r>
        <w:rPr>
          <w:sz w:val="22"/>
          <w:szCs w:val="22"/>
        </w:rPr>
        <w:t xml:space="preserve">Forgetting to associate releases with deploys, making regression tracking impossible.</w:t>
      </w:r>
    </w:p>
    <w:p>
      <w:pPr>
        <w:pStyle w:val="ListParagraph"/>
        <w:numPr>
          <w:ilvl w:val="0"/>
          <w:numId w:val="2"/>
        </w:numPr>
        <w:spacing w:after="80" w:line="276"/>
      </w:pPr>
      <w:r>
        <w:rPr>
          <w:sz w:val="22"/>
          <w:szCs w:val="22"/>
        </w:rPr>
        <w:t xml:space="preserve">Treating Sentry as a log dump — logging entire request/response objects instead of structured, scrubbed context.</w:t>
      </w:r>
    </w:p>
    <w:p>
      <w:pPr>
        <w:pStyle w:val="ListParagraph"/>
        <w:numPr>
          <w:ilvl w:val="0"/>
          <w:numId w:val="2"/>
        </w:numPr>
        <w:spacing w:after="80" w:line="276"/>
      </w:pPr>
      <w:r>
        <w:rPr>
          <w:sz w:val="22"/>
          <w:szCs w:val="22"/>
        </w:rPr>
        <w:t xml:space="preserve">No ownership rules, so every issue lands in a shared inbox that nobody feels responsible for.</w:t>
      </w:r>
    </w:p>
    <w:p>
      <w:pPr>
        <w:pStyle w:val="ListParagraph"/>
        <w:numPr>
          <w:ilvl w:val="0"/>
          <w:numId w:val="2"/>
        </w:numPr>
        <w:spacing w:after="80" w:line="276"/>
      </w:pPr>
      <w:r>
        <w:rPr>
          <w:sz w:val="22"/>
          <w:szCs w:val="22"/>
        </w:rPr>
        <w:t xml:space="preserve">Never revisiting alert rules after initial setup, leading to either total silence or constant noise months later.</w:t>
      </w:r>
    </w:p>
    <w:p>
      <w:pPr>
        <w:pStyle w:val="Heading1"/>
        <w:spacing w:after="160" w:before="360"/>
      </w:pPr>
      <w:r>
        <w:rPr>
          <w:b/>
          <w:bCs/>
          <w:color w:val="1F4E79"/>
          <w:sz w:val="30"/>
          <w:szCs w:val="30"/>
        </w:rPr>
        <w:t xml:space="preserve">11. 30-Day Implementation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color="auto" w:val="clear"/>
          </w:tcPr>
          <w:p>
            <w:r>
              <w:rPr>
                <w:b/>
                <w:bCs/>
                <w:color w:val="FFFFFF"/>
                <w:sz w:val="20"/>
                <w:szCs w:val="20"/>
              </w:rPr>
              <w:t xml:space="preserve">Week</w:t>
            </w:r>
          </w:p>
        </w:tc>
        <w:tc>
          <w:tcPr>
            <w:tcW w:type="dxa" w:w="3000"/>
            <w:shd w:fill="1F4E79" w:color="auto" w:val="clear"/>
          </w:tcPr>
          <w:p>
            <w:r>
              <w:rPr>
                <w:b/>
                <w:bCs/>
                <w:color w:val="FFFFFF"/>
                <w:sz w:val="20"/>
                <w:szCs w:val="20"/>
              </w:rPr>
              <w:t xml:space="preserve">Focus</w:t>
            </w:r>
          </w:p>
        </w:tc>
        <w:tc>
          <w:tcPr>
            <w:tcW w:type="dxa" w:w="3000"/>
            <w:shd w:fill="1F4E79" w:color="auto" w:val="clear"/>
          </w:tcPr>
          <w:p>
            <w:r>
              <w:rPr>
                <w:b/>
                <w:bCs/>
                <w:color w:val="FFFFFF"/>
                <w:sz w:val="20"/>
                <w:szCs w:val="20"/>
              </w:rPr>
              <w:t xml:space="preserve">Exit criteria</w:t>
            </w:r>
          </w:p>
        </w:tc>
      </w:tr>
      <w:tr>
        <w:tc>
          <w:tcPr>
            <w:tcW w:type="dxa" w:w="3000"/>
            <w:shd w:fill="FFFFFF" w:color="auto" w:val="clear"/>
          </w:tcPr>
          <w:p>
            <w:r>
              <w:rPr>
                <w:sz w:val="20"/>
                <w:szCs w:val="20"/>
              </w:rPr>
              <w:t xml:space="preserve">Week 1</w:t>
            </w:r>
          </w:p>
        </w:tc>
        <w:tc>
          <w:tcPr>
            <w:tcW w:type="dxa" w:w="3000"/>
            <w:shd w:fill="FFFFFF" w:color="auto" w:val="clear"/>
          </w:tcPr>
          <w:p>
            <w:r>
              <w:rPr>
                <w:sz w:val="20"/>
                <w:szCs w:val="20"/>
              </w:rPr>
              <w:t xml:space="preserve">Pilot service SDK integration + source maps</w:t>
            </w:r>
          </w:p>
        </w:tc>
        <w:tc>
          <w:tcPr>
            <w:tcW w:type="dxa" w:w="3000"/>
            <w:shd w:fill="FFFFFF" w:color="auto" w:val="clear"/>
          </w:tcPr>
          <w:p>
            <w:r>
              <w:rPr>
                <w:sz w:val="20"/>
                <w:szCs w:val="20"/>
              </w:rPr>
              <w:t xml:space="preserve">Real errors appear with readable stack traces</w:t>
            </w:r>
          </w:p>
        </w:tc>
      </w:tr>
      <w:tr>
        <w:tc>
          <w:tcPr>
            <w:tcW w:type="dxa" w:w="3000"/>
            <w:shd w:fill="F5F9FC" w:color="auto" w:val="clear"/>
          </w:tcPr>
          <w:p>
            <w:r>
              <w:rPr>
                <w:sz w:val="20"/>
                <w:szCs w:val="20"/>
              </w:rPr>
              <w:t xml:space="preserve">Week 2</w:t>
            </w:r>
          </w:p>
        </w:tc>
        <w:tc>
          <w:tcPr>
            <w:tcW w:type="dxa" w:w="3000"/>
            <w:shd w:fill="F5F9FC" w:color="auto" w:val="clear"/>
          </w:tcPr>
          <w:p>
            <w:r>
              <w:rPr>
                <w:sz w:val="20"/>
                <w:szCs w:val="20"/>
              </w:rPr>
              <w:t xml:space="preserve">Alert rules, ownership routing, PII scrubbing</w:t>
            </w:r>
          </w:p>
        </w:tc>
        <w:tc>
          <w:tcPr>
            <w:tcW w:type="dxa" w:w="3000"/>
            <w:shd w:fill="F5F9FC" w:color="auto" w:val="clear"/>
          </w:tcPr>
          <w:p>
            <w:r>
              <w:rPr>
                <w:sz w:val="20"/>
                <w:szCs w:val="20"/>
              </w:rPr>
              <w:t xml:space="preserve">On-call receives only actionable pages</w:t>
            </w:r>
          </w:p>
        </w:tc>
      </w:tr>
      <w:tr>
        <w:tc>
          <w:tcPr>
            <w:tcW w:type="dxa" w:w="3000"/>
            <w:shd w:fill="FFFFFF" w:color="auto" w:val="clear"/>
          </w:tcPr>
          <w:p>
            <w:r>
              <w:rPr>
                <w:sz w:val="20"/>
                <w:szCs w:val="20"/>
              </w:rPr>
              <w:t xml:space="preserve">Week 3</w:t>
            </w:r>
          </w:p>
        </w:tc>
        <w:tc>
          <w:tcPr>
            <w:tcW w:type="dxa" w:w="3000"/>
            <w:shd w:fill="FFFFFF" w:color="auto" w:val="clear"/>
          </w:tcPr>
          <w:p>
            <w:r>
              <w:rPr>
                <w:sz w:val="20"/>
                <w:szCs w:val="20"/>
              </w:rPr>
              <w:t xml:space="preserve">Expand to remaining services via shared wrapper</w:t>
            </w:r>
          </w:p>
        </w:tc>
        <w:tc>
          <w:tcPr>
            <w:tcW w:type="dxa" w:w="3000"/>
            <w:shd w:fill="FFFFFF" w:color="auto" w:val="clear"/>
          </w:tcPr>
          <w:p>
            <w:r>
              <w:rPr>
                <w:sz w:val="20"/>
                <w:szCs w:val="20"/>
              </w:rPr>
              <w:t xml:space="preserve">All production services reporting</w:t>
            </w:r>
          </w:p>
        </w:tc>
      </w:tr>
      <w:tr>
        <w:tc>
          <w:tcPr>
            <w:tcW w:type="dxa" w:w="3000"/>
            <w:shd w:fill="F5F9FC" w:color="auto" w:val="clear"/>
          </w:tcPr>
          <w:p>
            <w:r>
              <w:rPr>
                <w:sz w:val="20"/>
                <w:szCs w:val="20"/>
              </w:rPr>
              <w:t xml:space="preserve">Week 4</w:t>
            </w:r>
          </w:p>
        </w:tc>
        <w:tc>
          <w:tcPr>
            <w:tcW w:type="dxa" w:w="3000"/>
            <w:shd w:fill="F5F9FC" w:color="auto" w:val="clear"/>
          </w:tcPr>
          <w:p>
            <w:r>
              <w:rPr>
                <w:sz w:val="20"/>
                <w:szCs w:val="20"/>
              </w:rPr>
              <w:t xml:space="preserve">Tracing, release health, dashboards, runbook docs</w:t>
            </w:r>
          </w:p>
        </w:tc>
        <w:tc>
          <w:tcPr>
            <w:tcW w:type="dxa" w:w="3000"/>
            <w:shd w:fill="F5F9FC" w:color="auto" w:val="clear"/>
          </w:tcPr>
          <w:p>
            <w:r>
              <w:rPr>
                <w:sz w:val="20"/>
                <w:szCs w:val="20"/>
              </w:rPr>
              <w:t xml:space="preserve">Team can answer "is this deploy safe?" from Sentry alone</w:t>
            </w:r>
          </w:p>
        </w:tc>
      </w:tr>
    </w:tbl>
    <w:p>
      <w:pPr>
        <w:spacing w:before="200"/>
      </w:pPr>
    </w:p>
    <w:p>
      <w:pPr>
        <w:pBdr>
          <w:bottom w:val="single" w:color="BFBFBF" w:sz="6"/>
        </w:pBdr>
        <w:spacing w:after="200"/>
      </w:pPr>
    </w:p>
    <w:p>
      <w:pPr>
        <w:spacing w:after="160" w:line="288"/>
      </w:pPr>
      <w:r>
        <w:rPr>
          <w:i/>
          <w:iCs/>
          <w:color w:val="595959"/>
          <w:sz w:val="22"/>
          <w:szCs w:val="22"/>
        </w:rPr>
        <w:t xml:space="preserve">Bottom line: Sentry's value isn't in the SDK install — it's in the discipline around it. Clean project architecture, scrubbed and tagged data, tuned alerts, and a team ritual for triage are what turn a monitoring tool into a genuine reliability advantage.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2026-07-24T08:23:42.631Z</dcterms:created>
  <dcterms:modified xsi:type="dcterms:W3CDTF">2026-07-24T08:23:42.651Z</dcterms:modified>
</cp:coreProperties>
</file>

<file path=docProps/custom.xml><?xml version="1.0" encoding="utf-8"?>
<Properties xmlns="http://schemas.openxmlformats.org/officeDocument/2006/custom-properties" xmlns:vt="http://schemas.openxmlformats.org/officeDocument/2006/docPropsVTypes"/>
</file>