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Agentic Development Playbook</w:t>
      </w:r>
    </w:p>
    <w:p>
      <w:pPr>
        <w:spacing w:after="400"/>
      </w:pPr>
      <w:r>
        <w:rPr>
          <w:i/>
          <w:iCs/>
          <w:color w:val="555555"/>
        </w:rPr>
        <w:t xml:space="preserve">Skills, rules, and structure for building the error-tracking platform inside an agentic coding setup (e.g. Claude Code).</w:t>
      </w:r>
    </w:p>
    <w:p>
      <w:pPr>
        <w:pStyle w:val="Heading1"/>
        <w:spacing w:after="120" w:before="200"/>
      </w:pPr>
      <w:r>
        <w:t xml:space="preserve">1. Purpose of This Document</w:t>
      </w:r>
    </w:p>
    <w:p>
      <w:pPr>
        <w:spacing w:after="200"/>
      </w:pPr>
      <w:r>
        <w:t xml:space="preserve">This is the reference an agentic coding tool should be pointed at (as an AGENTS.md, CLAUDE.md, or system-prompt attachment) before writing any code for this project. It exists so that every session — regardless of which part of the codebase the agent touches — follows the same architecture, the same conventions, and the same guardrails, rather than each session re-deriving its own approach. Everything here is written to be directly actionable: an agent should be able to read this once and know what to build, how to structure it, what rules not to break, and what is explicitly out of scope.</w:t>
      </w:r>
    </w:p>
    <w:p>
      <w:pPr>
        <w:pStyle w:val="Heading1"/>
        <w:spacing w:after="120" w:before="200"/>
      </w:pPr>
      <w:r>
        <w:t xml:space="preserve">2. Product Summary</w:t>
      </w:r>
    </w:p>
    <w:p>
      <w:pPr>
        <w:spacing w:after="200"/>
      </w:pPr>
      <w:r>
        <w:t xml:space="preserve">A lightweight, self-hosted, INR-priced error tracking and sampled-APM platform for small development teams (under ~10 engineers). It is Sentry-SDK and OpenTelemetry compatible, deliberately excludes session replay and mobile SDKs, and is built to run on a single small VM rather than a Kafka/ClickHouse-scale stack. Native alerting goes into Slack and n8n. Multi-tenancy is enforced with Postgres Row-Level Security.</w:t>
      </w:r>
    </w:p>
    <w:p>
      <w:pPr>
        <w:pStyle w:val="Heading1"/>
        <w:spacing w:after="120" w:before="200"/>
      </w:pPr>
      <w:r>
        <w:t xml:space="preserve">3. Tech Stack (Reference)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Language: TypeScript end-to-end — ingest, worker, dashboard, and SDK. One language, one type system, one agent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Ingest API: Fastify with TypeBox/JSON Schema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Queue: Redis + BullMQ (retries and backoff built 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Database: Postgres + Prisma (schema-first, autogenerated types), RLS for multi-tenancy.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Worker: plain Node process consuming BullMQ jobs — same codebase, different entry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Next.js (App Router) + Tailwind + shadcn/ui.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SDK: Node/Express middleware, plus an OpenTelemetry SDK wrapper for APM.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Alerting: Slack Incoming Webhooks + n8n webhook trigger — plain HTTP, no vendor SDKs.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Postgres RLS policies keyed to project_id, plus a thin session/JWT layer (no heavy external auth service).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Payments: Razorpay (added once monetization starts).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Packaging: single Docker Compose file — app, worker, postgres, redis (four services, no more).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Testing: Vitest.</w:t>
      </w:r>
    </w:p>
    <w:p>
      <w:pPr>
        <w:pStyle w:val="Heading1"/>
        <w:spacing w:after="120" w:before="200"/>
      </w:pPr>
      <w:r>
        <w:t xml:space="preserve">4. Repository Structure</w:t>
      </w:r>
    </w:p>
    <w:p>
      <w:pPr>
        <w:spacing w:after="120"/>
      </w:pPr>
      <w:r>
        <w:t xml:space="preserve">A single monorepo, not separate repos per service — this keeps shared types in one place and lets the agent reason about the whole system without cross-repo context loss.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/apps</w:t>
      </w:r>
      <w:r>
        <w:rPr>
          <w:rFonts w:ascii="Consolas" w:cs="Consolas" w:eastAsia="Consolas" w:hAnsi="Consolas"/>
          <w:sz w:val="18"/>
          <w:szCs w:val="18"/>
        </w:rPr>
        <w:br/>
        <w:t xml:space="preserve">  /ingest        -&gt; Fastify HTTP ingest service</w:t>
      </w:r>
      <w:r>
        <w:rPr>
          <w:rFonts w:ascii="Consolas" w:cs="Consolas" w:eastAsia="Consolas" w:hAnsi="Consolas"/>
          <w:sz w:val="18"/>
          <w:szCs w:val="18"/>
        </w:rPr>
        <w:br/>
        <w:t xml:space="preserve">  /worker        -&gt; BullMQ consumer: scrub, fingerprint, group</w:t>
      </w:r>
      <w:r>
        <w:rPr>
          <w:rFonts w:ascii="Consolas" w:cs="Consolas" w:eastAsia="Consolas" w:hAnsi="Consolas"/>
          <w:sz w:val="18"/>
          <w:szCs w:val="18"/>
        </w:rPr>
        <w:br/>
        <w:t xml:space="preserve">  /dashboard     -&gt; Next.js app</w:t>
      </w:r>
      <w:r>
        <w:rPr>
          <w:rFonts w:ascii="Consolas" w:cs="Consolas" w:eastAsia="Consolas" w:hAnsi="Consolas"/>
          <w:sz w:val="18"/>
          <w:szCs w:val="18"/>
        </w:rPr>
        <w:br/>
        <w:t xml:space="preserve">/packages</w:t>
      </w:r>
      <w:r>
        <w:rPr>
          <w:rFonts w:ascii="Consolas" w:cs="Consolas" w:eastAsia="Consolas" w:hAnsi="Consolas"/>
          <w:sz w:val="18"/>
          <w:szCs w:val="18"/>
        </w:rPr>
        <w:br/>
        <w:t xml:space="preserve">  /db            -&gt; Prisma schema, migrations, generated client</w:t>
      </w:r>
      <w:r>
        <w:rPr>
          <w:rFonts w:ascii="Consolas" w:cs="Consolas" w:eastAsia="Consolas" w:hAnsi="Consolas"/>
          <w:sz w:val="18"/>
          <w:szCs w:val="18"/>
        </w:rPr>
        <w:br/>
        <w:t xml:space="preserve">  /types         -&gt; shared TypeScript types (events, alerts, DTOs)</w:t>
      </w:r>
      <w:r>
        <w:rPr>
          <w:rFonts w:ascii="Consolas" w:cs="Consolas" w:eastAsia="Consolas" w:hAnsi="Consolas"/>
          <w:sz w:val="18"/>
          <w:szCs w:val="18"/>
        </w:rPr>
        <w:br/>
        <w:t xml:space="preserve">  /sdk-node      -&gt; published npm package (Express middleware)</w:t>
      </w:r>
      <w:r>
        <w:rPr>
          <w:rFonts w:ascii="Consolas" w:cs="Consolas" w:eastAsia="Consolas" w:hAnsi="Consolas"/>
          <w:sz w:val="18"/>
          <w:szCs w:val="18"/>
        </w:rPr>
        <w:br/>
        <w:t xml:space="preserve">  /alert-channels-&gt; AlertChannel interface + Slack/n8n implementations</w:t>
      </w:r>
      <w:r>
        <w:rPr>
          <w:rFonts w:ascii="Consolas" w:cs="Consolas" w:eastAsia="Consolas" w:hAnsi="Consolas"/>
          <w:sz w:val="18"/>
          <w:szCs w:val="18"/>
        </w:rPr>
        <w:br/>
        <w:t xml:space="preserve">  /fingerprint   -&gt; Fingerprinter interface + implementation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/scrub         -&gt; Scrubber interface + implementation</w:t>
      </w:r>
      <w:r>
        <w:rPr>
          <w:rFonts w:ascii="Consolas" w:cs="Consolas" w:eastAsia="Consolas" w:hAnsi="Consolas"/>
          <w:sz w:val="18"/>
          <w:szCs w:val="18"/>
        </w:rPr>
        <w:br/>
        <w:t xml:space="preserve">/infra</w:t>
      </w:r>
      <w:r>
        <w:rPr>
          <w:rFonts w:ascii="Consolas" w:cs="Consolas" w:eastAsia="Consolas" w:hAnsi="Consolas"/>
          <w:sz w:val="18"/>
          <w:szCs w:val="18"/>
        </w:rPr>
        <w:br/>
        <w:t xml:space="preserve">  docker-compose.yml</w:t>
      </w:r>
      <w:r>
        <w:rPr>
          <w:rFonts w:ascii="Consolas" w:cs="Consolas" w:eastAsia="Consolas" w:hAnsi="Consolas"/>
          <w:sz w:val="18"/>
          <w:szCs w:val="18"/>
        </w:rPr>
        <w:br/>
        <w:t xml:space="preserve">  /migrations</w:t>
      </w:r>
      <w:r>
        <w:rPr>
          <w:rFonts w:ascii="Consolas" w:cs="Consolas" w:eastAsia="Consolas" w:hAnsi="Consolas"/>
          <w:sz w:val="18"/>
          <w:szCs w:val="18"/>
        </w:rPr>
        <w:br/>
        <w:t xml:space="preserve">AGENTS.md         -&gt; this document</w:t>
      </w:r>
    </w:p>
    <w:p>
      <w:pPr>
        <w:pStyle w:val="Heading1"/>
        <w:spacing w:after="120" w:before="200"/>
      </w:pPr>
      <w:r>
        <w:t xml:space="preserve">5. Coding Rules &amp;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strict mode everywhere — no `any` without an explicit inline comment justifying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 on interfaces, not concrete classes, at every module boundary (see SOLID section below) — this is what keeps the agent from having to rewrite callers every time an implementation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exported responsibility per file: a file named fingerprinter.ts exports fingerprinting logic only, not fingerprinting plus scrubbing plus DB writes.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silent catch blocks. Every caught error either rethrows, logs with context, or is a deliberate, commented no-op.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ingest payloads are validated against a schema before touching any other logic — validation is not optional error handling, it's the first line of the handler.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hand-roll retry/backoff logic outside BullMQ's built-in mechanisms.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config is read in exactly one place (a config module) and passed down — no scattered process.env reads across the codebase.</w:t>
      </w:r>
    </w:p>
    <w:p>
      <w:pPr>
        <w:pStyle w:val="Heading1"/>
        <w:spacing w:after="120" w:before="200"/>
      </w:pPr>
      <w:r>
        <w:t xml:space="preserve">6. SOLID Principles Applied to This Codebase</w:t>
      </w:r>
    </w:p>
    <w:p>
      <w:pPr>
        <w:spacing w:after="120"/>
      </w:pPr>
      <w:r>
        <w:t xml:space="preserve">Applied selectively — only where change is actually expected (alerting channels, ingest sources, storage backends), not as blanket abstraction over everything.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Responsibility: separate IngestValidator, Scrubber, Fingerprinter, GroupRepository, AlertDispatcher, and AlertChannel — never one function that does all of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Open/Closed: new alert destinations or ingest sources are added as new classes implementing an existing interface, never by editing existing dispatch/handler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Liskov Substitution: every AlertChannel or Repository implementation must honor the same error-handling contract (e.g. always throw on failure — never let one implementation swallow errors another one surfaces).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Segregation: split repositories by actual usage (ErrorGroupRepository, EventRepository, TraceRepository) instead of one large Storage interface everything is forced to implement.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Inversion: IngestHandler, worker, and AlertDispatcher receive their dependencies (Fingerprinter, AlertChannel, Repository) via constructor injection, so implementations can be swapped or mocked without touching the caller.</w:t>
      </w:r>
    </w:p>
    <w:p>
      <w:pPr>
        <w:pStyle w:val="Heading1"/>
        <w:spacing w:after="120" w:before="200"/>
      </w:pPr>
      <w:r>
        <w:t xml:space="preserve">7. Core Interface Contracts</w:t>
      </w:r>
    </w:p>
    <w:p>
      <w:pPr>
        <w:spacing w:after="120"/>
      </w:pPr>
      <w:r>
        <w:t xml:space="preserve">These are the interfaces to define before writing any implementation — agreeing the contract first avoids an agent baking assumptions from one implementation into the interface shape.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Known implementations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AlertChannel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send(alert): deliver an alert to one destination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SlackChannel, N8nChannel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Fingerprinter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stackTrace -&gt; group key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DefaultFingerprinter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Scrubber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redact sensitive fields before persistence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RegexScrubber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EventRepository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write/read raw error events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PostgresEventRepository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ErrorGroupRepository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upsert/read grouped errors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PostgresErrorGroupRepository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TraceRepository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write rollups + sampled raw traces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PostgresTraceRepository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parse an incoming ingest payload into the internal event shape</w:t>
            </w:r>
          </w:p>
        </w:tc>
        <w:tc>
          <w:tcPr>
            <w:tcW w:type="dxa" w:w="2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SentrySdkSource, OtelSource</w:t>
            </w:r>
          </w:p>
        </w:tc>
      </w:tr>
    </w:tbl>
    <w:p>
      <w:pPr>
        <w:pStyle w:val="Heading1"/>
        <w:spacing w:after="120" w:before="200"/>
      </w:pPr>
      <w:r>
        <w:t xml:space="preserve">8. Testing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new interface implementation ships with a Vitest suite exercising it in isolation, using in-memory or mock dependencies — no implementation merges without at least one test proving its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isolation must be proven with two dummy projects, verifying cross-project reads/writes are rejected, before the dashboard is built against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Scrubbing must have explicit test cases: API keys, tokens, and emails embedded inside realistic stack traces, asserting they never reach storage unredacted.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Fingerprinting tests should include known-hard cases: minified code, dynamic IDs in messages, async/callback stack traces — not just the happy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cooldown logic needs a test proving a repeated burst of errors from the same group does not re-fire inside the cooldown window.</w:t>
      </w:r>
    </w:p>
    <w:p>
      <w:pPr>
        <w:pStyle w:val="Heading1"/>
        <w:spacing w:after="120" w:before="200"/>
      </w:pPr>
      <w:r>
        <w:t xml:space="preserve">9. Security &amp; Data-Handling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Scrubbing runs before persistence, never after — nothing unredacted should ever touch the database, even temporarily.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table that stores tenant data carries project_id and has an RLS policy scoped to it — no table is exempt by default.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keys are hashed at rest, never stored or logged in plaintext.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is enforced per API key at the ingest layer, before payloads reach the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(DB credentials, Redis URL, Razorpay keys) are read from environment variables only, never committed, never hardcoded even for local dev.</w:t>
      </w:r>
    </w:p>
    <w:p>
      <w:pPr>
        <w:pStyle w:val="Heading1"/>
        <w:spacing w:after="120" w:before="200"/>
      </w:pPr>
      <w:r>
        <w:t xml:space="preserve">10. Scope Guardrails — What Not to Build</w:t>
      </w:r>
    </w:p>
    <w:p>
      <w:pPr>
        <w:spacing w:after="120"/>
      </w:pPr>
      <w:r>
        <w:t xml:space="preserve">These are deliberately out of scope. An agent should flag, not silently implement, any task that drifts into this list without an explicit scope-change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replay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SDKs (v1)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Full-fidelity, unsampled distributed tracing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Kafka, ClickHouse, or any additional stateful service beyond Postgres and Redis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custom auth-as-a-service layer — use the thin session/JWT approach instead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or multi-node orchestration for the MVP deployment target</w:t>
      </w:r>
    </w:p>
    <w:p>
      <w:pPr>
        <w:pStyle w:val="Heading1"/>
        <w:spacing w:after="120" w:before="200"/>
      </w:pPr>
      <w:r>
        <w:t xml:space="preserve">11. Production Readiness Checklist</w:t>
      </w:r>
    </w:p>
    <w:p>
      <w:pPr>
        <w:spacing w:after="120"/>
      </w:pPr>
      <w:r>
        <w:t xml:space="preserve">Required before the first non-dogfooding customer is onboarded: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persistence (AOF) enabled, with a decided and tested behavior for a Redis outage.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daily Postgres backups, with at least one tested restore.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 monitoring hitting the service's own health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Per-API-key rate limiting live on the ingest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Scrubbing test suite passing against realistic sensitive-data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documented process for reviewing and patching fingerprinting misgroupings weekly during the first month.</w:t>
      </w:r>
    </w:p>
    <w:p>
      <w:pPr>
        <w:pStyle w:val="Heading1"/>
        <w:spacing w:after="120" w:before="200"/>
      </w:pPr>
      <w:r>
        <w:t xml:space="preserve">12. Agent Workflow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relevant existing module and its tests before modifying it — never assume the shape of an interface from its name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adding a new AlertChannel, Source, or Repository, implement the existing interface rather than changing the interface, unless the task explicitly calls for a contract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test suite for any package touched before considering a task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task would require adding a new stateful service (beyond Postgres/Redis) or would reintroduce something in the scope-guardrails list, stop and flag it rather than implementing it silently.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extending an existing interface's implementations over adding conditional branches inside existing classes — that is the Open/Closed principle in practice, and it is what keeps future agent sessions from having to untangle accumulated special cases.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2026-07-09T11:34:23.646Z</dcterms:created>
  <dcterms:modified xsi:type="dcterms:W3CDTF">2026-07-09T11:34:23.681Z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