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Problem Statement: Error Tracking for Small Development Teams</w:t>
      </w:r>
    </w:p>
    <w:p>
      <w:pPr>
        <w:spacing w:after="400"/>
      </w:pPr>
      <w:r>
        <w:rPr>
          <w:i/>
          <w:iCs/>
          <w:color w:val="555555"/>
        </w:rPr>
        <w:t xml:space="preserve">A refined analysis of the market gap, the competitive landscape, and the scope this product must actually occupy.</w:t>
      </w:r>
    </w:p>
    <w:p>
      <w:pPr>
        <w:pStyle w:val="Heading1"/>
        <w:spacing w:after="120" w:before="200"/>
      </w:pPr>
      <w:r>
        <w:t xml:space="preserve">1. The Core Problem</w:t>
      </w:r>
    </w:p>
    <w:p>
      <w:pPr>
        <w:spacing w:after="200"/>
      </w:pPr>
      <w:r>
        <w:t xml:space="preserve">Small development teams — typically under ten engineers, often working on side projects, early-stage startups, or small client engagements — face a genuine and underserved gap in error tracking tooling. Every production application eventually needs a way to capture exceptions, group them into meaningful clusters, and alert someone before a silent failure becomes a customer complaint. This is not a luxury; it is close to table stakes for running anything in production. Yet the two paths available to a small team today both fail them in distinct, well-documented ways, and the failure is structural rather than incidental — it is not that existing tools are poorly built, but that they are built for a different customer.</w:t>
      </w:r>
    </w:p>
    <w:p>
      <w:pPr>
        <w:spacing w:after="200"/>
      </w:pPr>
      <w:r>
        <w:t xml:space="preserve">The first path is hosted error tracking — services like Sentry's own cloud offering or Datadog's error-monitoring product. These are excellent tools, well-engineered and broadly trusted, but their pricing models are built around event volume and seat count in a way that scales against exactly the teams least able to absorb it. A five-person team running a handful of production services can generate enough error volume, especially from a single noisy bug, to trigger overage charges or force an upgrade tier within weeks of adoption. The result is a familiar pattern: teams either under-instrument their applications to control cost, defeating the purpose of the tool, or they pay for a tier built for a company ten times their size.</w:t>
      </w:r>
    </w:p>
    <w:p>
      <w:pPr>
        <w:spacing w:after="200"/>
      </w:pPr>
      <w:r>
        <w:t xml:space="preserve">The second path — self-hosting — looks like the obvious answer on paper and turns out not to be one in practice. This is a point worth stating precisely, because it is easy to assume otherwise: self-hosted Sentry is not a lightweight alternative to the SaaS product. It is the same product, running the same architecture, and that architecture was designed for scale, not for simplicity.</w:t>
      </w:r>
    </w:p>
    <w:p>
      <w:pPr>
        <w:pStyle w:val="Heading1"/>
        <w:spacing w:after="120" w:before="200"/>
      </w:pPr>
      <w:r>
        <w:t xml:space="preserve">2. Why Self-Hosting the Incumbent Isn't a Real Option</w:t>
      </w:r>
    </w:p>
    <w:p>
      <w:pPr>
        <w:spacing w:after="200"/>
      </w:pPr>
      <w:r>
        <w:t xml:space="preserve">The self-hosted Sentry stack runs PostgreSQL as its primary database, Redis for caching and task queuing, Kafka for event ingestion, and ClickHouse for search and analytics, alongside additional services for symbolication and processing. The published minimum requirement is 4 CPU cores, 16GB of RAM, and 20GB of disk — before a single real user has sent a single real error. That is the floor, not the ceiling. Teams that have actually run this in production report that scaling it properly requires Kubernetes, careful operational handling of stateful services like Kafka and ClickHouse, coordinated version upgrades across a dozen interdependent services, and real monitoring of the monitoring system itself. This is a genuine infrastructure commitment, comparable in weight to running a small data platform — not a weekend docker-compose project a five-person team can stand up on a Friday afternoon and forget about.</w:t>
      </w:r>
    </w:p>
    <w:p>
      <w:pPr>
        <w:spacing w:after="200"/>
      </w:pPr>
      <w:r>
        <w:t xml:space="preserve">This matters because it reframes the actual shape of the gap. The problem is not "error tracking is expensive." The problem is that the only credible self-hosted option in most people's mental model — Sentry itself — was never designed to be the lightweight, low-operational-overhead tool that a small team actually needs. A team choosing self-hosted Sentry to save money often ends up spending more in engineering time and operational risk than it would have spent on a hosted subscription, which defeats the entire premise.</w:t>
      </w:r>
    </w:p>
    <w:p>
      <w:pPr>
        <w:pStyle w:val="Heading1"/>
        <w:spacing w:after="120" w:before="200"/>
      </w:pPr>
      <w:r>
        <w:t xml:space="preserve">3. The Competitive Landscape Is Not Empty</w:t>
      </w:r>
    </w:p>
    <w:p>
      <w:pPr>
        <w:spacing w:after="200"/>
      </w:pPr>
      <w:r>
        <w:t xml:space="preserve">Any problem statement here has to correct for a fact that is easy to miss on a first pass: the wedge of "lightweight, self-hosted, Sentry-SDK-compatible error tracking" is not unclaimed territory. GlitchTip already occupies exactly that position — an open-source error tracker explicitly built for lower resource requirements, compatible with Sentry's own client SDKs, and positioned as the answer to the operational weight described above. A product that enters this space with "self-hosted and lightweight" as its sole differentiator is not filling a gap; it is competing directly with an established open-source project that already solved that specific problem.</w:t>
      </w:r>
    </w:p>
    <w:p>
      <w:pPr>
        <w:spacing w:after="200"/>
      </w:pPr>
      <w:r>
        <w:t xml:space="preserve">This does not eliminate the opportunity, but it does eliminate the laziest version of it. The real problem statement has to identify what remains genuinely underserved once GlitchTip's existence is accounted for. Three candidate wedges survive that scrutiny: pricing and billing built natively around INR for the Indian developer and small-business market, where existing tools price and bill in a way that adds friction and currency risk; a genuinely one-command self-hosting experience, as opposed to a docker-compose file that still asks an operator to understand and wire together more than a dozen services; and alerting workflows built natively into the tools small teams already live in, such as n8n and Slack, rather than treated as an afterthought integration. Each of these is a real, addressable gap. None of them is served by simply re-describing GlitchTip's existing pitch.</w:t>
      </w:r>
    </w:p>
    <w:p>
      <w:pPr>
        <w:pStyle w:val="Heading1"/>
        <w:spacing w:after="120" w:before="200"/>
      </w:pPr>
      <w:r>
        <w:t xml:space="preserve">4. Who Is Actually Affected</w:t>
      </w:r>
    </w:p>
    <w:p>
      <w:pPr>
        <w:spacing w:after="200"/>
      </w:pPr>
      <w:r>
        <w:t xml:space="preserve">The people living inside this gap are recognizable: a solo founder running two or three production services who cannot justify a per-seat SaaS bill against pre-revenue economics; a small agency or freelance team maintaining several client applications who need one dashboard across projects without paying for enterprise-grade observability they will never use; and early-stage teams for whom "we'll add proper error tracking later" quietly becomes permanent because every available option feels disproportionate to their current size. For all of these groups, the absence of a right-sized tool doesn't just mean inconvenience — it means production errors go undetected until a user reports them, which is strictly worse than having imperfect visibility.</w:t>
      </w:r>
    </w:p>
    <w:p>
      <w:pPr>
        <w:pStyle w:val="Heading1"/>
        <w:spacing w:after="120" w:before="200"/>
      </w:pPr>
      <w:r>
        <w:t xml:space="preserve">5. Why the Gap Persists</w:t>
      </w:r>
    </w:p>
    <w:p>
      <w:pPr>
        <w:spacing w:after="200"/>
      </w:pPr>
      <w:r>
        <w:t xml:space="preserve">The gap survives because the incentives of the two dominant models point away from it. Hosted vendors are structurally motivated to grow revenue per customer as usage grows, which works against teams whose usage is inherently spiky and small. The dominant open-source heavyweight, Sentry, built its self-hosted distribution as a faithful mirror of its enterprise product rather than as a separate lightweight offering, because that product already exists for a different audience and a fork would fragment engineering effort. GlitchTip has partially addressed the operational side of this but has not, based on available signals, made India-specific pricing or native workflow-tool alerting a core focus — leaving room for a product that treats those as first-class rather than incidental.</w:t>
      </w:r>
    </w:p>
    <w:p>
      <w:pPr>
        <w:pStyle w:val="Heading1"/>
        <w:spacing w:after="120" w:before="200"/>
      </w:pPr>
      <w:r>
        <w:t xml:space="preserve">6. The Refined Problem Statement</w:t>
      </w:r>
    </w:p>
    <w:p>
      <w:pPr>
        <w:spacing w:after="200"/>
      </w:pPr>
      <w:r>
        <w:t xml:space="preserve">Small development teams need production-grade error tracking — capture, grouping, and alerting — without either the volume-based cost curve of hosted SaaS tools or the operational weight of running a system designed for enterprise scale. GlitchTip has already claimed the general "lightweight, self-hosted, Sentry-compatible" position, so that framing alone is not a defensible product thesis. The addressable gap that remains is narrower and more specific: a tool that pairs Sentry-SDK-level familiarity with a genuinely one-command self-hosting experience, native alerting into the collaboration and automation tools small teams already use — n8n and Slack in particular — and, for one clearly identifiable underserved market, pricing denominated and structured around INR rather than adapted from a USD-first model. The product that wins this gap will be judged less on whether it can technically capture and group errors, since that problem is well understood and largely solved by prior art, and more on whether it removes the specific operational and financial friction that keeps small teams from adopting proper error tracking at all.</w:t>
      </w:r>
    </w:p>
    <w:p>
      <w:pPr>
        <w:spacing w:after="200"/>
      </w:pPr>
      <w:r>
        <w:t xml:space="preserve">Scoping the MVP tightly around this narrower gap — rather than quietly re-implementing everything Sentry does — is therefore not a simplification for convenience. It is the actual strategy: session replay, full distributed tracing, performance monitoring, and mobile SDKs were originally treated as out of scope because they are the features that make the incumbent heavy in the first place. The one exception carved back in, and the reasoning behind it, is covered below.</w:t>
      </w:r>
    </w:p>
    <w:p>
      <w:pPr>
        <w:pStyle w:val="Heading1"/>
        <w:spacing w:after="120" w:before="200"/>
      </w:pPr>
      <w:r>
        <w:t xml:space="preserve">7. Revised Scope: Bringing Performance Tracing (APM) Back In</w:t>
      </w:r>
    </w:p>
    <w:p>
      <w:pPr>
        <w:spacing w:after="200"/>
      </w:pPr>
      <w:r>
        <w:t xml:space="preserve">Performance tracing (APM) is being added back into scope, on the understanding that it is the single feature most responsible for Sentry's operational weight in the first place — so it cannot simply be bolted on the same way error capture was. Error tracking is a sparse-event problem: data only arrives when something fails. Tracing is a dense-event problem: a data point is generated on every request, often as a tree of ten to fifty spans per request. Ingesting all of it at full detail is precisely what forces Sentry's self-hosted stack to run Kafka for ingestion and ClickHouse for analytical storage — the two heaviest services in that architecture exist mainly to serve trace volume, not error volume.</w:t>
      </w:r>
    </w:p>
    <w:p>
      <w:pPr>
        <w:spacing w:after="200"/>
      </w:pPr>
      <w:r>
        <w:t xml:space="preserve">The approach that keeps this affordable is to store less by design rather than to store everything and optimize later. Three decisions make this possible. First, sampling happens at the SDK before data ever leaves the client — keeping full detail for a small percentage of normal requests plus effectively all slow or failed requests, which cuts stored volume by an order of magnitude for free. Second, two different shapes of data are stored separately: small, fixed-size rolled-up metrics (p50/p95/p99 latency and error rate per endpoint) are always kept, while full raw trace trees are kept only for the sampled subset, and only for a short retention window. Third, ingestion targets the OpenTelemetry span format rather than a proprietary one, since OTel is the format Sentry, Datadog, and most of the industry already standardize on underneath their own SDKs — this is a stronger compatibility claim than "Sentry-SDK-compatible" alone, because it works with any language's existing OTel instrumentation without asking a developer to adopt a new SDK.</w:t>
      </w:r>
    </w:p>
    <w:p>
      <w:pPr>
        <w:spacing w:after="200"/>
      </w:pPr>
      <w:r>
        <w:t xml:space="preserve">With sampling and the rollup/raw-trace split in place, the same Postgres-centered footprint used for error tracking can absorb tracing too, optionally with a time-series extension for the rollups — Kafka and ClickHouse are still not required. The honest tradeoff is that even sampled trace data is still meaningfully larger than error data, so this is scoped as a distinct pricing tier rather than folded silently into the base plan: error tracking remains the always-cheap core product, and APM is priced closer to its real, somewhat higher infrastructure cost. That keeps the founding pitch intact — lightweight, self-hosted, INR-priced — while being honest that a premium capability costs more to run than the base one.</w:t>
      </w:r>
    </w:p>
    <w:p>
      <w:pPr>
        <w:pStyle w:val="Heading1"/>
        <w:spacing w:after="120" w:before="200"/>
      </w:pPr>
      <w:r>
        <w:t xml:space="preserve">8. Feature Comparison: This Product vs. Self-Hosted Sentry</w:t>
      </w:r>
    </w:p>
    <w:p>
      <w:pPr>
        <w:spacing w:after="160"/>
      </w:pPr>
      <w:r>
        <w:t xml:space="preserve">The table below lays out where this product matches Sentry, where it deliberately does less, and where it takes a different approach rather than a lesser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175"/>
        <w:gridCol w:w="3175"/>
      </w:tblGrid>
      <w:tr>
        <w:trPr>
          <w:tblHeader/>
        </w:trPr>
        <w:tc>
          <w:tcPr>
            <w:tcW w:type="dxa" w:w="3000"/>
            <w:shd w:fill="2F5496" w:val="clear"/>
            <w:tcMar>
              <w:top w:type="dxa" w:w="100"/>
              <w:left w:type="dxa" w:w="120"/>
              <w:bottom w:type="dxa" w:w="100"/>
              <w:right w:type="dxa" w:w="120"/>
            </w:tcMar>
          </w:tcPr>
          <w:p>
            <w:r>
              <w:rPr>
                <w:b/>
                <w:bCs/>
                <w:color w:val="FFFFFF"/>
              </w:rPr>
              <w:t xml:space="preserve">Feature</w:t>
            </w:r>
          </w:p>
        </w:tc>
        <w:tc>
          <w:tcPr>
            <w:tcW w:type="dxa" w:w="3175"/>
            <w:shd w:fill="2F5496" w:val="clear"/>
            <w:tcMar>
              <w:top w:type="dxa" w:w="100"/>
              <w:left w:type="dxa" w:w="120"/>
              <w:bottom w:type="dxa" w:w="100"/>
              <w:right w:type="dxa" w:w="120"/>
            </w:tcMar>
          </w:tcPr>
          <w:p>
            <w:r>
              <w:rPr>
                <w:b/>
                <w:bCs/>
                <w:color w:val="FFFFFF"/>
              </w:rPr>
              <w:t xml:space="preserve">Self-Hosted Sentry</w:t>
            </w:r>
          </w:p>
        </w:tc>
        <w:tc>
          <w:tcPr>
            <w:tcW w:type="dxa" w:w="3175"/>
            <w:shd w:fill="2F5496" w:val="clear"/>
            <w:tcMar>
              <w:top w:type="dxa" w:w="100"/>
              <w:left w:type="dxa" w:w="120"/>
              <w:bottom w:type="dxa" w:w="100"/>
              <w:right w:type="dxa" w:w="120"/>
            </w:tcMar>
          </w:tcPr>
          <w:p>
            <w:r>
              <w:rPr>
                <w:b/>
                <w:bCs/>
                <w:color w:val="FFFFFF"/>
              </w:rPr>
              <w:t xml:space="preserve">This Product</w:t>
            </w:r>
          </w:p>
        </w:tc>
      </w:tr>
      <w:tr>
        <w:tc>
          <w:tcPr>
            <w:tcW w:type="dxa" w:w="3000"/>
            <w:tcMar>
              <w:top w:type="dxa" w:w="100"/>
              <w:left w:type="dxa" w:w="120"/>
              <w:bottom w:type="dxa" w:w="100"/>
              <w:right w:type="dxa" w:w="120"/>
            </w:tcMar>
          </w:tcPr>
          <w:p>
            <w:r>
              <w:rPr>
                <w:b w:val="false"/>
                <w:bCs w:val="false"/>
                <w:color w:val="000000"/>
              </w:rPr>
              <w:t xml:space="preserve">Error capture &amp; grouping</w:t>
            </w:r>
          </w:p>
        </w:tc>
        <w:tc>
          <w:tcPr>
            <w:tcW w:type="dxa" w:w="3175"/>
            <w:tcMar>
              <w:top w:type="dxa" w:w="100"/>
              <w:left w:type="dxa" w:w="120"/>
              <w:bottom w:type="dxa" w:w="100"/>
              <w:right w:type="dxa" w:w="120"/>
            </w:tcMar>
          </w:tcPr>
          <w:p>
            <w:r>
              <w:rPr>
                <w:b w:val="false"/>
                <w:bCs w:val="false"/>
                <w:color w:val="000000"/>
              </w:rPr>
              <w:t xml:space="preserve">Yes — full featured</w:t>
            </w:r>
          </w:p>
        </w:tc>
        <w:tc>
          <w:tcPr>
            <w:tcW w:type="dxa" w:w="3175"/>
            <w:tcMar>
              <w:top w:type="dxa" w:w="100"/>
              <w:left w:type="dxa" w:w="120"/>
              <w:bottom w:type="dxa" w:w="100"/>
              <w:right w:type="dxa" w:w="120"/>
            </w:tcMar>
          </w:tcPr>
          <w:p>
            <w:r>
              <w:rPr>
                <w:b w:val="false"/>
                <w:bCs w:val="false"/>
                <w:color w:val="000000"/>
              </w:rPr>
              <w:t xml:space="preserve">Yes — same core capability</w:t>
            </w:r>
          </w:p>
        </w:tc>
      </w:tr>
      <w:tr>
        <w:tc>
          <w:tcPr>
            <w:tcW w:type="dxa" w:w="3000"/>
            <w:tcMar>
              <w:top w:type="dxa" w:w="100"/>
              <w:left w:type="dxa" w:w="120"/>
              <w:bottom w:type="dxa" w:w="100"/>
              <w:right w:type="dxa" w:w="120"/>
            </w:tcMar>
          </w:tcPr>
          <w:p>
            <w:r>
              <w:rPr>
                <w:b w:val="false"/>
                <w:bCs w:val="false"/>
                <w:color w:val="000000"/>
              </w:rPr>
              <w:t xml:space="preserve">Client SDK compatibility</w:t>
            </w:r>
          </w:p>
        </w:tc>
        <w:tc>
          <w:tcPr>
            <w:tcW w:type="dxa" w:w="3175"/>
            <w:tcMar>
              <w:top w:type="dxa" w:w="100"/>
              <w:left w:type="dxa" w:w="120"/>
              <w:bottom w:type="dxa" w:w="100"/>
              <w:right w:type="dxa" w:w="120"/>
            </w:tcMar>
          </w:tcPr>
          <w:p>
            <w:r>
              <w:rPr>
                <w:b w:val="false"/>
                <w:bCs w:val="false"/>
                <w:color w:val="000000"/>
              </w:rPr>
              <w:t xml:space="preserve">Sentry SDKs</w:t>
            </w:r>
          </w:p>
        </w:tc>
        <w:tc>
          <w:tcPr>
            <w:tcW w:type="dxa" w:w="3175"/>
            <w:tcMar>
              <w:top w:type="dxa" w:w="100"/>
              <w:left w:type="dxa" w:w="120"/>
              <w:bottom w:type="dxa" w:w="100"/>
              <w:right w:type="dxa" w:w="120"/>
            </w:tcMar>
          </w:tcPr>
          <w:p>
            <w:r>
              <w:rPr>
                <w:b w:val="false"/>
                <w:bCs w:val="false"/>
                <w:color w:val="000000"/>
              </w:rPr>
              <w:t xml:space="preserve">Sentry-SDK-compatible ingest, plus OpenTelemetry</w:t>
            </w:r>
          </w:p>
        </w:tc>
      </w:tr>
      <w:tr>
        <w:tc>
          <w:tcPr>
            <w:tcW w:type="dxa" w:w="3000"/>
            <w:tcMar>
              <w:top w:type="dxa" w:w="100"/>
              <w:left w:type="dxa" w:w="120"/>
              <w:bottom w:type="dxa" w:w="100"/>
              <w:right w:type="dxa" w:w="120"/>
            </w:tcMar>
          </w:tcPr>
          <w:p>
            <w:r>
              <w:rPr>
                <w:b w:val="false"/>
                <w:bCs w:val="false"/>
                <w:color w:val="000000"/>
              </w:rPr>
              <w:t xml:space="preserve">Alerting</w:t>
            </w:r>
          </w:p>
        </w:tc>
        <w:tc>
          <w:tcPr>
            <w:tcW w:type="dxa" w:w="3175"/>
            <w:tcMar>
              <w:top w:type="dxa" w:w="100"/>
              <w:left w:type="dxa" w:w="120"/>
              <w:bottom w:type="dxa" w:w="100"/>
              <w:right w:type="dxa" w:w="120"/>
            </w:tcMar>
          </w:tcPr>
          <w:p>
            <w:r>
              <w:rPr>
                <w:b w:val="false"/>
                <w:bCs w:val="false"/>
                <w:color w:val="000000"/>
              </w:rPr>
              <w:t xml:space="preserve">Yes, via integrations</w:t>
            </w:r>
          </w:p>
        </w:tc>
        <w:tc>
          <w:tcPr>
            <w:tcW w:type="dxa" w:w="3175"/>
            <w:tcMar>
              <w:top w:type="dxa" w:w="100"/>
              <w:left w:type="dxa" w:w="120"/>
              <w:bottom w:type="dxa" w:w="100"/>
              <w:right w:type="dxa" w:w="120"/>
            </w:tcMar>
          </w:tcPr>
          <w:p>
            <w:r>
              <w:rPr>
                <w:b w:val="false"/>
                <w:bCs w:val="false"/>
                <w:color w:val="000000"/>
              </w:rPr>
              <w:t xml:space="preserve">Native to n8n and Slack workflows</w:t>
            </w:r>
          </w:p>
        </w:tc>
      </w:tr>
      <w:tr>
        <w:tc>
          <w:tcPr>
            <w:tcW w:type="dxa" w:w="3000"/>
            <w:tcMar>
              <w:top w:type="dxa" w:w="100"/>
              <w:left w:type="dxa" w:w="120"/>
              <w:bottom w:type="dxa" w:w="100"/>
              <w:right w:type="dxa" w:w="120"/>
            </w:tcMar>
          </w:tcPr>
          <w:p>
            <w:r>
              <w:rPr>
                <w:b w:val="false"/>
                <w:bCs w:val="false"/>
                <w:color w:val="000000"/>
              </w:rPr>
              <w:t xml:space="preserve">Performance tracing / APM</w:t>
            </w:r>
          </w:p>
        </w:tc>
        <w:tc>
          <w:tcPr>
            <w:tcW w:type="dxa" w:w="3175"/>
            <w:tcMar>
              <w:top w:type="dxa" w:w="100"/>
              <w:left w:type="dxa" w:w="120"/>
              <w:bottom w:type="dxa" w:w="100"/>
              <w:right w:type="dxa" w:w="120"/>
            </w:tcMar>
          </w:tcPr>
          <w:p>
            <w:r>
              <w:rPr>
                <w:b w:val="false"/>
                <w:bCs w:val="false"/>
                <w:color w:val="000000"/>
              </w:rPr>
              <w:t xml:space="preserve">Full-fidelity, all traces</w:t>
            </w:r>
          </w:p>
        </w:tc>
        <w:tc>
          <w:tcPr>
            <w:tcW w:type="dxa" w:w="3175"/>
            <w:tcMar>
              <w:top w:type="dxa" w:w="100"/>
              <w:left w:type="dxa" w:w="120"/>
              <w:bottom w:type="dxa" w:w="100"/>
              <w:right w:type="dxa" w:w="120"/>
            </w:tcMar>
          </w:tcPr>
          <w:p>
            <w:r>
              <w:rPr>
                <w:b w:val="false"/>
                <w:bCs w:val="false"/>
                <w:color w:val="000000"/>
              </w:rPr>
              <w:t xml:space="preserve">Sampled traces + always-on rollup metrics</w:t>
            </w:r>
          </w:p>
        </w:tc>
      </w:tr>
      <w:tr>
        <w:tc>
          <w:tcPr>
            <w:tcW w:type="dxa" w:w="3000"/>
            <w:tcMar>
              <w:top w:type="dxa" w:w="100"/>
              <w:left w:type="dxa" w:w="120"/>
              <w:bottom w:type="dxa" w:w="100"/>
              <w:right w:type="dxa" w:w="120"/>
            </w:tcMar>
          </w:tcPr>
          <w:p>
            <w:r>
              <w:rPr>
                <w:b w:val="false"/>
                <w:bCs w:val="false"/>
                <w:color w:val="000000"/>
              </w:rPr>
              <w:t xml:space="preserve">Session replay</w:t>
            </w:r>
          </w:p>
        </w:tc>
        <w:tc>
          <w:tcPr>
            <w:tcW w:type="dxa" w:w="3175"/>
            <w:tcMar>
              <w:top w:type="dxa" w:w="100"/>
              <w:left w:type="dxa" w:w="120"/>
              <w:bottom w:type="dxa" w:w="100"/>
              <w:right w:type="dxa" w:w="120"/>
            </w:tcMar>
          </w:tcPr>
          <w:p>
            <w:r>
              <w:rPr>
                <w:b w:val="false"/>
                <w:bCs w:val="false"/>
                <w:color w:val="000000"/>
              </w:rPr>
              <w:t xml:space="preserve">Yes</w:t>
            </w:r>
          </w:p>
        </w:tc>
        <w:tc>
          <w:tcPr>
            <w:tcW w:type="dxa" w:w="3175"/>
            <w:tcMar>
              <w:top w:type="dxa" w:w="100"/>
              <w:left w:type="dxa" w:w="120"/>
              <w:bottom w:type="dxa" w:w="100"/>
              <w:right w:type="dxa" w:w="120"/>
            </w:tcMar>
          </w:tcPr>
          <w:p>
            <w:r>
              <w:rPr>
                <w:b w:val="false"/>
                <w:bCs w:val="false"/>
                <w:color w:val="000000"/>
              </w:rPr>
              <w:t xml:space="preserve">Out of scope</w:t>
            </w:r>
          </w:p>
        </w:tc>
      </w:tr>
      <w:tr>
        <w:tc>
          <w:tcPr>
            <w:tcW w:type="dxa" w:w="3000"/>
            <w:tcMar>
              <w:top w:type="dxa" w:w="100"/>
              <w:left w:type="dxa" w:w="120"/>
              <w:bottom w:type="dxa" w:w="100"/>
              <w:right w:type="dxa" w:w="120"/>
            </w:tcMar>
          </w:tcPr>
          <w:p>
            <w:r>
              <w:rPr>
                <w:b w:val="false"/>
                <w:bCs w:val="false"/>
                <w:color w:val="000000"/>
              </w:rPr>
              <w:t xml:space="preserve">Mobile SDKs</w:t>
            </w:r>
          </w:p>
        </w:tc>
        <w:tc>
          <w:tcPr>
            <w:tcW w:type="dxa" w:w="3175"/>
            <w:tcMar>
              <w:top w:type="dxa" w:w="100"/>
              <w:left w:type="dxa" w:w="120"/>
              <w:bottom w:type="dxa" w:w="100"/>
              <w:right w:type="dxa" w:w="120"/>
            </w:tcMar>
          </w:tcPr>
          <w:p>
            <w:r>
              <w:rPr>
                <w:b w:val="false"/>
                <w:bCs w:val="false"/>
                <w:color w:val="000000"/>
              </w:rPr>
              <w:t xml:space="preserve">Yes</w:t>
            </w:r>
          </w:p>
        </w:tc>
        <w:tc>
          <w:tcPr>
            <w:tcW w:type="dxa" w:w="3175"/>
            <w:tcMar>
              <w:top w:type="dxa" w:w="100"/>
              <w:left w:type="dxa" w:w="120"/>
              <w:bottom w:type="dxa" w:w="100"/>
              <w:right w:type="dxa" w:w="120"/>
            </w:tcMar>
          </w:tcPr>
          <w:p>
            <w:r>
              <w:rPr>
                <w:b w:val="false"/>
                <w:bCs w:val="false"/>
                <w:color w:val="000000"/>
              </w:rPr>
              <w:t xml:space="preserve">Out of scope for v1</w:t>
            </w:r>
          </w:p>
        </w:tc>
      </w:tr>
      <w:tr>
        <w:tc>
          <w:tcPr>
            <w:tcW w:type="dxa" w:w="3000"/>
            <w:tcMar>
              <w:top w:type="dxa" w:w="100"/>
              <w:left w:type="dxa" w:w="120"/>
              <w:bottom w:type="dxa" w:w="100"/>
              <w:right w:type="dxa" w:w="120"/>
            </w:tcMar>
          </w:tcPr>
          <w:p>
            <w:r>
              <w:rPr>
                <w:b w:val="false"/>
                <w:bCs w:val="false"/>
                <w:color w:val="000000"/>
              </w:rPr>
              <w:t xml:space="preserve">Multi-tenancy</w:t>
            </w:r>
          </w:p>
        </w:tc>
        <w:tc>
          <w:tcPr>
            <w:tcW w:type="dxa" w:w="3175"/>
            <w:tcMar>
              <w:top w:type="dxa" w:w="100"/>
              <w:left w:type="dxa" w:w="120"/>
              <w:bottom w:type="dxa" w:w="100"/>
              <w:right w:type="dxa" w:w="120"/>
            </w:tcMar>
          </w:tcPr>
          <w:p>
            <w:r>
              <w:rPr>
                <w:b w:val="false"/>
                <w:bCs w:val="false"/>
                <w:color w:val="000000"/>
              </w:rPr>
              <w:t xml:space="preserve">Yes</w:t>
            </w:r>
          </w:p>
        </w:tc>
        <w:tc>
          <w:tcPr>
            <w:tcW w:type="dxa" w:w="3175"/>
            <w:tcMar>
              <w:top w:type="dxa" w:w="100"/>
              <w:left w:type="dxa" w:w="120"/>
              <w:bottom w:type="dxa" w:w="100"/>
              <w:right w:type="dxa" w:w="120"/>
            </w:tcMar>
          </w:tcPr>
          <w:p>
            <w:r>
              <w:rPr>
                <w:b w:val="false"/>
                <w:bCs w:val="false"/>
                <w:color w:val="000000"/>
              </w:rPr>
              <w:t xml:space="preserve">Yes — Postgres RLS per project</w:t>
            </w:r>
          </w:p>
        </w:tc>
      </w:tr>
      <w:tr>
        <w:tc>
          <w:tcPr>
            <w:tcW w:type="dxa" w:w="3000"/>
            <w:tcMar>
              <w:top w:type="dxa" w:w="100"/>
              <w:left w:type="dxa" w:w="120"/>
              <w:bottom w:type="dxa" w:w="100"/>
              <w:right w:type="dxa" w:w="120"/>
            </w:tcMar>
          </w:tcPr>
          <w:p>
            <w:r>
              <w:rPr>
                <w:b w:val="false"/>
                <w:bCs w:val="false"/>
                <w:color w:val="000000"/>
              </w:rPr>
              <w:t xml:space="preserve">Core infrastructure</w:t>
            </w:r>
          </w:p>
        </w:tc>
        <w:tc>
          <w:tcPr>
            <w:tcW w:type="dxa" w:w="3175"/>
            <w:tcMar>
              <w:top w:type="dxa" w:w="100"/>
              <w:left w:type="dxa" w:w="120"/>
              <w:bottom w:type="dxa" w:w="100"/>
              <w:right w:type="dxa" w:w="120"/>
            </w:tcMar>
          </w:tcPr>
          <w:p>
            <w:r>
              <w:rPr>
                <w:b w:val="false"/>
                <w:bCs w:val="false"/>
                <w:color w:val="000000"/>
              </w:rPr>
              <w:t xml:space="preserve">Postgres, Redis, Kafka, ClickHouse, symbolicator services</w:t>
            </w:r>
          </w:p>
        </w:tc>
        <w:tc>
          <w:tcPr>
            <w:tcW w:type="dxa" w:w="3175"/>
            <w:tcMar>
              <w:top w:type="dxa" w:w="100"/>
              <w:left w:type="dxa" w:w="120"/>
              <w:bottom w:type="dxa" w:w="100"/>
              <w:right w:type="dxa" w:w="120"/>
            </w:tcMar>
          </w:tcPr>
          <w:p>
            <w:r>
              <w:rPr>
                <w:b w:val="false"/>
                <w:bCs w:val="false"/>
                <w:color w:val="000000"/>
              </w:rPr>
              <w:t xml:space="preserve">Postgres, Redis (optionally + time-series extension)</w:t>
            </w:r>
          </w:p>
        </w:tc>
      </w:tr>
      <w:tr>
        <w:tc>
          <w:tcPr>
            <w:tcW w:type="dxa" w:w="3000"/>
            <w:tcMar>
              <w:top w:type="dxa" w:w="100"/>
              <w:left w:type="dxa" w:w="120"/>
              <w:bottom w:type="dxa" w:w="100"/>
              <w:right w:type="dxa" w:w="120"/>
            </w:tcMar>
          </w:tcPr>
          <w:p>
            <w:r>
              <w:rPr>
                <w:b w:val="false"/>
                <w:bCs w:val="false"/>
                <w:color w:val="000000"/>
              </w:rPr>
              <w:t xml:space="preserve">Minimum footprint</w:t>
            </w:r>
          </w:p>
        </w:tc>
        <w:tc>
          <w:tcPr>
            <w:tcW w:type="dxa" w:w="3175"/>
            <w:tcMar>
              <w:top w:type="dxa" w:w="100"/>
              <w:left w:type="dxa" w:w="120"/>
              <w:bottom w:type="dxa" w:w="100"/>
              <w:right w:type="dxa" w:w="120"/>
            </w:tcMar>
          </w:tcPr>
          <w:p>
            <w:r>
              <w:rPr>
                <w:b w:val="false"/>
                <w:bCs w:val="false"/>
                <w:color w:val="000000"/>
              </w:rPr>
              <w:t xml:space="preserve">4 CPU / 16GB RAM, multi-service, Kubernetes at scale</w:t>
            </w:r>
          </w:p>
        </w:tc>
        <w:tc>
          <w:tcPr>
            <w:tcW w:type="dxa" w:w="3175"/>
            <w:tcMar>
              <w:top w:type="dxa" w:w="100"/>
              <w:left w:type="dxa" w:w="120"/>
              <w:bottom w:type="dxa" w:w="100"/>
              <w:right w:type="dxa" w:w="120"/>
            </w:tcMar>
          </w:tcPr>
          <w:p>
            <w:r>
              <w:rPr>
                <w:b w:val="false"/>
                <w:bCs w:val="false"/>
                <w:color w:val="000000"/>
              </w:rPr>
              <w:t xml:space="preserve">Single small VM (1–2 CPU / 2–4GB RAM)</w:t>
            </w:r>
          </w:p>
        </w:tc>
      </w:tr>
      <w:tr>
        <w:tc>
          <w:tcPr>
            <w:tcW w:type="dxa" w:w="3000"/>
            <w:tcMar>
              <w:top w:type="dxa" w:w="100"/>
              <w:left w:type="dxa" w:w="120"/>
              <w:bottom w:type="dxa" w:w="100"/>
              <w:right w:type="dxa" w:w="120"/>
            </w:tcMar>
          </w:tcPr>
          <w:p>
            <w:r>
              <w:rPr>
                <w:b w:val="false"/>
                <w:bCs w:val="false"/>
                <w:color w:val="000000"/>
              </w:rPr>
              <w:t xml:space="preserve">Self-host setup</w:t>
            </w:r>
          </w:p>
        </w:tc>
        <w:tc>
          <w:tcPr>
            <w:tcW w:type="dxa" w:w="3175"/>
            <w:tcMar>
              <w:top w:type="dxa" w:w="100"/>
              <w:left w:type="dxa" w:w="120"/>
              <w:bottom w:type="dxa" w:w="100"/>
              <w:right w:type="dxa" w:w="120"/>
            </w:tcMar>
          </w:tcPr>
          <w:p>
            <w:r>
              <w:rPr>
                <w:b w:val="false"/>
                <w:bCs w:val="false"/>
                <w:color w:val="000000"/>
              </w:rPr>
              <w:t xml:space="preserve">Multi-service docker-compose, real operational effort</w:t>
            </w:r>
          </w:p>
        </w:tc>
        <w:tc>
          <w:tcPr>
            <w:tcW w:type="dxa" w:w="3175"/>
            <w:tcMar>
              <w:top w:type="dxa" w:w="100"/>
              <w:left w:type="dxa" w:w="120"/>
              <w:bottom w:type="dxa" w:w="100"/>
              <w:right w:type="dxa" w:w="120"/>
            </w:tcMar>
          </w:tcPr>
          <w:p>
            <w:r>
              <w:rPr>
                <w:b w:val="false"/>
                <w:bCs w:val="false"/>
                <w:color w:val="000000"/>
              </w:rPr>
              <w:t xml:space="preserve">One-command self-host</w:t>
            </w:r>
          </w:p>
        </w:tc>
      </w:tr>
      <w:tr>
        <w:tc>
          <w:tcPr>
            <w:tcW w:type="dxa" w:w="3000"/>
            <w:tcMar>
              <w:top w:type="dxa" w:w="100"/>
              <w:left w:type="dxa" w:w="120"/>
              <w:bottom w:type="dxa" w:w="100"/>
              <w:right w:type="dxa" w:w="120"/>
            </w:tcMar>
          </w:tcPr>
          <w:p>
            <w:r>
              <w:rPr>
                <w:b w:val="false"/>
                <w:bCs w:val="false"/>
                <w:color w:val="000000"/>
              </w:rPr>
              <w:t xml:space="preserve">Pricing model</w:t>
            </w:r>
          </w:p>
        </w:tc>
        <w:tc>
          <w:tcPr>
            <w:tcW w:type="dxa" w:w="3175"/>
            <w:tcMar>
              <w:top w:type="dxa" w:w="100"/>
              <w:left w:type="dxa" w:w="120"/>
              <w:bottom w:type="dxa" w:w="100"/>
              <w:right w:type="dxa" w:w="120"/>
            </w:tcMar>
          </w:tcPr>
          <w:p>
            <w:r>
              <w:rPr>
                <w:b w:val="false"/>
                <w:bCs w:val="false"/>
                <w:color w:val="000000"/>
              </w:rPr>
              <w:t xml:space="preserve">USD, volume-based</w:t>
            </w:r>
          </w:p>
        </w:tc>
        <w:tc>
          <w:tcPr>
            <w:tcW w:type="dxa" w:w="3175"/>
            <w:tcMar>
              <w:top w:type="dxa" w:w="100"/>
              <w:left w:type="dxa" w:w="120"/>
              <w:bottom w:type="dxa" w:w="100"/>
              <w:right w:type="dxa" w:w="120"/>
            </w:tcMar>
          </w:tcPr>
          <w:p>
            <w:r>
              <w:rPr>
                <w:b w:val="false"/>
                <w:bCs w:val="false"/>
                <w:color w:val="000000"/>
              </w:rPr>
              <w:t xml:space="preserve">INR-native; flat error-tracking tier, APM priced separately</w:t>
            </w:r>
          </w:p>
        </w:tc>
      </w:tr>
    </w:tbl>
    <w:p>
      <w:pPr>
        <w:spacing w:before="200"/>
      </w:pPr>
    </w:p>
    <w:p>
      <w:pPr>
        <w:spacing w:after="200"/>
      </w:pPr>
      <w:r>
        <w:t xml:space="preserve">Read together, the comparison is not "fewer features than Sentry" so much as "the same core job, delivered through a lighter architecture, with two features — sampled APM and native workflow-tool alerting — reshaped to fit a small team's actual usage pattern and budget, and two features — session replay and mobile SDKs — deliberately left out because they are not what this specific gap needs solved."</w:t>
      </w:r>
    </w:p>
    <w:p>
      <w:pPr>
        <w:pStyle w:val="Heading1"/>
        <w:spacing w:after="120" w:before="200"/>
      </w:pPr>
      <w:r>
        <w:t xml:space="preserve">9. Production Readiness: What Must Be True Before Real Customers Onboard</w:t>
      </w:r>
    </w:p>
    <w:p>
      <w:pPr>
        <w:spacing w:after="200"/>
      </w:pPr>
      <w:r>
        <w:t xml:space="preserve">The architecture described above is sound — ingest, queue, async worker, and Postgres is a proven pattern, and Postgres-backed RLS multi-tenancy is low-risk given prior experience with it. But "the design works" and "this is safe to run in production" are different claims, and the gap between them is a specific, short checklist rather than a vague caveat. None of the items below are optional once a customer who is not the founding team depends on this running.</w:t>
      </w:r>
    </w:p>
    <w:p>
      <w:pPr>
        <w:spacing w:after="200"/>
      </w:pPr>
      <w:r>
        <w:t xml:space="preserve">Redis durability is the single biggest real gap. Redis is in-memory by default, so if it restarts or crashes with unpersisted data, every error event sitting in the queue at that moment is lost silently. Persistence (AOF) needs to be enabled, and there needs to be an explicit, tested answer for what happens when Redis is unavailable for several minutes — buffer and retry client-side, or accept some loss — rather than discovering the answer during an actual outage.</w:t>
      </w:r>
    </w:p>
    <w:p>
      <w:pPr>
        <w:spacing w:after="200"/>
      </w:pPr>
      <w:r>
        <w:t xml:space="preserve">Automated backups are non-negotiable. A single-VM deployment with no tested backup and restore process is a demo, not a product; one disk failure or bad migration would otherwise erase a customer's entire error history. Daily automated Postgres backups, with restores actually tested at least once, are a hard prerequisite for the first non-dogfooding customer.</w:t>
      </w:r>
    </w:p>
    <w:p>
      <w:pPr>
        <w:spacing w:after="200"/>
      </w:pPr>
      <w:r>
        <w:t xml:space="preserve">The single-VM footprint that keeps this cheap is also a single point of failure, which is an acceptable tradeoff at this scale as long as it is monitored. That means uptime monitoring on the service's own health endpoint, so that an outage is caught by the team rather than reported by a customer whose own errors have gone dark.</w:t>
      </w:r>
    </w:p>
    <w:p>
      <w:pPr>
        <w:spacing w:after="200"/>
      </w:pPr>
      <w:r>
        <w:t xml:space="preserve">Per-API-key rate limiting on ingestion has to exist before a second real customer is onboarded. Without it, one tenant's noisy bug — an exception thrown in a tight loop, for instance — can flood the shared queue and degrade the dashboard for every other tenant on the same infrastructure.</w:t>
      </w:r>
    </w:p>
    <w:p>
      <w:pPr>
        <w:spacing w:after="200"/>
      </w:pPr>
      <w:r>
        <w:t xml:space="preserve">Sensitive-data scrubbing needs to be proven, not merely present. This is the feature underpinning the entire self-hosted trust argument against SaaS vendors, so it needs concrete test cases — API keys, tokens, and emails embedded in realistic stack traces — verified against it before any real customer's data passes through, not assumed to work because the regex exists.</w:t>
      </w:r>
    </w:p>
    <w:p>
      <w:pPr>
        <w:spacing w:after="200"/>
      </w:pPr>
      <w:r>
        <w:t xml:space="preserve">Fingerprinting should be expected to misbehave on real-world noise even after careful design — dynamic class names, minified code, or an unaccounted-for framework will confuse it in ways testing didn't surface. The realistic plan is not "perfect it before launch" but a standing habit of reviewing misgrouped errors weekly for the first month and patching the grouping rules as real patterns surface.</w:t>
      </w:r>
    </w:p>
    <w:p>
      <w:pPr>
        <w:spacing w:after="200"/>
      </w:pPr>
      <w:r>
        <w:t xml:space="preserve">Finally, it is worth being explicit about scale rather than implying this is production-ready without qualification: this design is production-ready for its intended segment — a handful to a few dozen small-team customers with modest error and trace volume — and is not intended to be production-ready at hundreds of customers or high-traffic scale without revisiting the architecture, at which point a real message queue and a columnar store re-enter the conversation. That is a fit to the target market, not a shortcoming, but it should be stated rather than left implicit.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2026-07-09T11:12:23.407Z</dcterms:created>
  <dcterms:modified xsi:type="dcterms:W3CDTF">2026-07-09T11:12:23.420Z</dcterms:modified>
</cp:coreProperties>
</file>

<file path=docProps/custom.xml><?xml version="1.0" encoding="utf-8"?>
<Properties xmlns="http://schemas.openxmlformats.org/officeDocument/2006/custom-properties" xmlns:vt="http://schemas.openxmlformats.org/officeDocument/2006/docPropsVTypes"/>
</file>