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E3C78"/>
      </w:pPr>
    </w:p>
    <w:p>
      <w:pPr>
        <w:shd w:val="clear" w:color="auto" w:fill="1E3C78"/>
        <w:spacing w:before="400" w:after="80"/>
      </w:pPr>
      <w:r>
        <w:rPr>
          <w:rFonts w:ascii="Arial" w:hAnsi="Arial"/>
          <w:b/>
          <w:i w:val="0"/>
          <w:color w:val="FFFFFF"/>
          <w:sz w:val="40"/>
        </w:rPr>
        <w:t xml:space="preserve">  HEALTHAPP — FULL APPLICATION AUDIT REPORT</w:t>
      </w:r>
    </w:p>
    <w:p>
      <w:pPr>
        <w:shd w:val="clear" w:color="auto" w:fill="1E3C78"/>
        <w:spacing w:after="400"/>
      </w:pPr>
      <w:r>
        <w:rPr>
          <w:rFonts w:ascii="Arial" w:hAnsi="Arial"/>
          <w:b w:val="0"/>
          <w:i/>
          <w:color w:val="C8DCFF"/>
          <w:sz w:val="22"/>
        </w:rPr>
        <w:t xml:space="preserve">  Prepared: March 09, 2026   |   Scope: Admin Panel + Volunteer Mobile API</w:t>
      </w:r>
    </w:p>
    <w:p>
      <w:pPr>
        <w:shd w:val="clear" w:color="auto" w:fill="1E3C78"/>
      </w:pPr>
    </w:p>
    <w:p/>
    <w:p>
      <w:pPr>
        <w:spacing w:before="280" w:after="120"/>
      </w:pPr>
      <w:r>
        <w:rPr>
          <w:rFonts w:ascii="Arial" w:hAnsi="Arial"/>
          <w:b/>
          <w:i w:val="0"/>
          <w:color w:val="1E5AA0"/>
          <w:sz w:val="36"/>
        </w:rPr>
        <w:t>1. Executive Summary</w:t>
      </w:r>
    </w:p>
    <w:p>
      <w:pPr>
        <w:spacing w:after="80"/>
      </w:pPr>
      <w:r>
        <w:rPr>
          <w:rFonts w:ascii="Arial" w:hAnsi="Arial"/>
          <w:b w:val="0"/>
          <w:i w:val="0"/>
          <w:sz w:val="22"/>
        </w:rPr>
        <w:t>This audit covers the HealthApp web administration panel (https://healthapp.wayforweb.info/admin) and its companion REST API used by volunteer mobile applications to register and manage patient records. The evaluation was conducted across five domains: Security &amp; Authentication, UX/UI, API Design, Data Integrity, and Performance &amp; Scalability.</w:t>
      </w:r>
    </w:p>
    <w:p>
      <w:pPr>
        <w:spacing w:after="80"/>
      </w:pPr>
      <w:r>
        <w:rPr>
          <w:rFonts w:ascii="Arial" w:hAnsi="Arial"/>
          <w:b w:val="0"/>
          <w:i w:val="0"/>
          <w:sz w:val="22"/>
        </w:rPr>
        <w:t>A total of 31 findings were identified — 4 Critical, 7 High, 10 Medium, 6 Low, and 4 Informational. Immediate remediation is recommended for all Critical and High items before the application handles live patient data, as healthcare data carries significant regulatory and safety implications.</w:t>
      </w:r>
    </w:p>
    <w:p/>
    <w:p>
      <w:pPr>
        <w:spacing w:after="80"/>
      </w:pPr>
      <w:r>
        <w:rPr>
          <w:rFonts w:ascii="Arial" w:hAnsi="Arial"/>
          <w:b/>
          <w:i w:val="0"/>
          <w:sz w:val="22"/>
        </w:rPr>
        <w:t>Finding Summary</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C00000"/>
          </w:tcPr>
          <w:p>
            <w:pPr>
              <w:jc w:val="center"/>
            </w:pPr>
            <w:r>
              <w:rPr>
                <w:rFonts w:ascii="Arial" w:hAnsi="Arial"/>
                <w:b/>
                <w:i w:val="0"/>
                <w:color w:val="FFFFFF"/>
                <w:sz w:val="20"/>
              </w:rPr>
              <w:t>CRITICAL</w:t>
            </w:r>
          </w:p>
        </w:tc>
        <w:tc>
          <w:tcPr>
            <w:tcW w:type="dxa" w:w="1872"/>
            <w:shd w:val="clear" w:color="auto" w:fill="C45911"/>
          </w:tcPr>
          <w:p>
            <w:pPr>
              <w:jc w:val="center"/>
            </w:pPr>
            <w:r>
              <w:rPr>
                <w:rFonts w:ascii="Arial" w:hAnsi="Arial"/>
                <w:b/>
                <w:i w:val="0"/>
                <w:color w:val="FFFFFF"/>
                <w:sz w:val="20"/>
              </w:rPr>
              <w:t>HIGH</w:t>
            </w:r>
          </w:p>
        </w:tc>
        <w:tc>
          <w:tcPr>
            <w:tcW w:type="dxa" w:w="1872"/>
            <w:shd w:val="clear" w:color="auto" w:fill="9B7700"/>
          </w:tcPr>
          <w:p>
            <w:pPr>
              <w:jc w:val="center"/>
            </w:pPr>
            <w:r>
              <w:rPr>
                <w:rFonts w:ascii="Arial" w:hAnsi="Arial"/>
                <w:b/>
                <w:i w:val="0"/>
                <w:color w:val="FFFFFF"/>
                <w:sz w:val="20"/>
              </w:rPr>
              <w:t>MEDIUM</w:t>
            </w:r>
          </w:p>
        </w:tc>
        <w:tc>
          <w:tcPr>
            <w:tcW w:type="dxa" w:w="1872"/>
            <w:shd w:val="clear" w:color="auto" w:fill="007000"/>
          </w:tcPr>
          <w:p>
            <w:pPr>
              <w:jc w:val="center"/>
            </w:pPr>
            <w:r>
              <w:rPr>
                <w:rFonts w:ascii="Arial" w:hAnsi="Arial"/>
                <w:b/>
                <w:i w:val="0"/>
                <w:color w:val="FFFFFF"/>
                <w:sz w:val="20"/>
              </w:rPr>
              <w:t>LOW</w:t>
            </w:r>
          </w:p>
        </w:tc>
        <w:tc>
          <w:tcPr>
            <w:tcW w:type="dxa" w:w="1872"/>
            <w:shd w:val="clear" w:color="auto" w:fill="4472C4"/>
          </w:tcPr>
          <w:p>
            <w:pPr>
              <w:jc w:val="center"/>
            </w:pPr>
            <w:r>
              <w:rPr>
                <w:rFonts w:ascii="Arial" w:hAnsi="Arial"/>
                <w:b/>
                <w:i w:val="0"/>
                <w:color w:val="FFFFFF"/>
                <w:sz w:val="20"/>
              </w:rPr>
              <w:t>INFO</w:t>
            </w:r>
          </w:p>
        </w:tc>
      </w:tr>
      <w:tr>
        <w:tc>
          <w:tcPr>
            <w:tcW w:type="dxa" w:w="1872"/>
          </w:tcPr>
          <w:p>
            <w:pPr>
              <w:jc w:val="center"/>
            </w:pPr>
            <w:r>
              <w:rPr>
                <w:rFonts w:ascii="Arial" w:hAnsi="Arial"/>
                <w:b/>
                <w:i w:val="0"/>
                <w:color w:val="C00000"/>
                <w:sz w:val="32"/>
              </w:rPr>
              <w:t>4</w:t>
            </w:r>
          </w:p>
        </w:tc>
        <w:tc>
          <w:tcPr>
            <w:tcW w:type="dxa" w:w="1872"/>
          </w:tcPr>
          <w:p>
            <w:pPr>
              <w:jc w:val="center"/>
            </w:pPr>
            <w:r>
              <w:rPr>
                <w:rFonts w:ascii="Arial" w:hAnsi="Arial"/>
                <w:b/>
                <w:i w:val="0"/>
                <w:color w:val="C45911"/>
                <w:sz w:val="32"/>
              </w:rPr>
              <w:t>7</w:t>
            </w:r>
          </w:p>
        </w:tc>
        <w:tc>
          <w:tcPr>
            <w:tcW w:type="dxa" w:w="1872"/>
          </w:tcPr>
          <w:p>
            <w:pPr>
              <w:jc w:val="center"/>
            </w:pPr>
            <w:r>
              <w:rPr>
                <w:rFonts w:ascii="Arial" w:hAnsi="Arial"/>
                <w:b/>
                <w:i w:val="0"/>
                <w:color w:val="9B7700"/>
                <w:sz w:val="32"/>
              </w:rPr>
              <w:t>10</w:t>
            </w:r>
          </w:p>
        </w:tc>
        <w:tc>
          <w:tcPr>
            <w:tcW w:type="dxa" w:w="1872"/>
          </w:tcPr>
          <w:p>
            <w:pPr>
              <w:jc w:val="center"/>
            </w:pPr>
            <w:r>
              <w:rPr>
                <w:rFonts w:ascii="Arial" w:hAnsi="Arial"/>
                <w:b/>
                <w:i w:val="0"/>
                <w:color w:val="007000"/>
                <w:sz w:val="32"/>
              </w:rPr>
              <w:t>6</w:t>
            </w:r>
          </w:p>
        </w:tc>
        <w:tc>
          <w:tcPr>
            <w:tcW w:type="dxa" w:w="1872"/>
          </w:tcPr>
          <w:p>
            <w:pPr>
              <w:jc w:val="center"/>
            </w:pPr>
            <w:r>
              <w:rPr>
                <w:rFonts w:ascii="Arial" w:hAnsi="Arial"/>
                <w:b/>
                <w:i w:val="0"/>
                <w:color w:val="4472C4"/>
                <w:sz w:val="32"/>
              </w:rPr>
              <w:t>4</w:t>
            </w:r>
          </w:p>
        </w:tc>
      </w:tr>
    </w:tbl>
    <w:p/>
    <w:p>
      <w:pPr>
        <w:spacing w:before="280" w:after="120"/>
      </w:pPr>
      <w:r>
        <w:rPr>
          <w:rFonts w:ascii="Arial" w:hAnsi="Arial"/>
          <w:b/>
          <w:i w:val="0"/>
          <w:color w:val="1E5AA0"/>
          <w:sz w:val="36"/>
        </w:rPr>
        <w:t>2. Scope &amp; Methodology</w:t>
      </w:r>
    </w:p>
    <w:p>
      <w:pPr>
        <w:spacing w:after="80"/>
      </w:pPr>
      <w:r>
        <w:rPr>
          <w:rFonts w:ascii="Arial" w:hAnsi="Arial"/>
          <w:b w:val="0"/>
          <w:i w:val="0"/>
          <w:sz w:val="22"/>
        </w:rPr>
        <w:t>The audit covered the following surfaces:</w:t>
      </w:r>
    </w:p>
    <w:p>
      <w:pPr>
        <w:pStyle w:val="ListBullet"/>
        <w:spacing w:after="60"/>
        <w:ind w:left="432"/>
      </w:pPr>
      <w:r>
        <w:rPr>
          <w:rFonts w:ascii="Arial" w:hAnsi="Arial"/>
          <w:b w:val="0"/>
          <w:i w:val="0"/>
          <w:sz w:val="21"/>
        </w:rPr>
        <w:t>Admin Panel — Login, Dashboard, Patient Management, Volunteer Management, Reporting</w:t>
      </w:r>
    </w:p>
    <w:p>
      <w:pPr>
        <w:pStyle w:val="ListBullet"/>
        <w:spacing w:after="60"/>
        <w:ind w:left="432"/>
      </w:pPr>
      <w:r>
        <w:rPr>
          <w:rFonts w:ascii="Arial" w:hAnsi="Arial"/>
          <w:b w:val="0"/>
          <w:i w:val="0"/>
          <w:sz w:val="21"/>
        </w:rPr>
        <w:t>Volunteer Mobile API — Authentication endpoints, Patient CRUD, Data submission flows</w:t>
      </w:r>
    </w:p>
    <w:p>
      <w:pPr>
        <w:pStyle w:val="ListBullet"/>
        <w:spacing w:after="60"/>
        <w:ind w:left="432"/>
      </w:pPr>
      <w:r>
        <w:rPr>
          <w:rFonts w:ascii="Arial" w:hAnsi="Arial"/>
          <w:b w:val="0"/>
          <w:i w:val="0"/>
          <w:sz w:val="21"/>
        </w:rPr>
        <w:t>Infrastructure — HTTPS configuration, cookie security, error handling, headers</w:t>
      </w:r>
    </w:p>
    <w:p>
      <w:pPr>
        <w:pStyle w:val="ListBullet"/>
        <w:spacing w:after="60"/>
        <w:ind w:left="432"/>
      </w:pPr>
      <w:r>
        <w:rPr>
          <w:rFonts w:ascii="Arial" w:hAnsi="Arial"/>
          <w:b w:val="0"/>
          <w:i w:val="0"/>
          <w:sz w:val="21"/>
        </w:rPr>
        <w:t>UX/UI — Accessibility, workflow efficiency, mobile responsiveness</w:t>
      </w:r>
    </w:p>
    <w:p>
      <w:pPr>
        <w:spacing w:after="80"/>
      </w:pPr>
      <w:r>
        <w:rPr>
          <w:rFonts w:ascii="Arial" w:hAnsi="Arial"/>
          <w:b w:val="0"/>
          <w:i w:val="0"/>
          <w:sz w:val="22"/>
        </w:rPr>
        <w:t>Methodology included: manual UI walkthrough, API endpoint analysis, HTTP header inspection, authentication flow testing, role/permission boundary testing, and data validation probing.</w:t>
      </w:r>
    </w:p>
    <w:p>
      <w:pPr>
        <w:spacing w:before="280" w:after="120"/>
      </w:pPr>
      <w:r>
        <w:rPr>
          <w:rFonts w:ascii="Arial" w:hAnsi="Arial"/>
          <w:b/>
          <w:i w:val="0"/>
          <w:color w:val="1E5AA0"/>
          <w:sz w:val="36"/>
        </w:rPr>
        <w:t>3. Security &amp; Authentication</w:t>
      </w:r>
    </w:p>
    <w:p>
      <w:pPr>
        <w:spacing w:after="80"/>
      </w:pPr>
      <w:r>
        <w:rPr>
          <w:rFonts w:ascii="Arial" w:hAnsi="Arial"/>
          <w:b w:val="0"/>
          <w:i w:val="0"/>
          <w:sz w:val="22"/>
        </w:rPr>
        <w:t>Security is the highest-priority domain for a healthcare application. The following issues were identified: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720"/>
            <w:shd w:val="clear" w:color="auto" w:fill="1E3C78"/>
          </w:tcPr>
          <w:p>
            <w:pPr>
              <w:jc w:val="center"/>
            </w:pPr>
            <w:r>
              <w:rPr>
                <w:rFonts w:ascii="Arial" w:hAnsi="Arial"/>
                <w:b/>
                <w:i w:val="0"/>
                <w:color w:val="FFFFFF"/>
                <w:sz w:val="20"/>
              </w:rPr>
              <w:t>ID</w:t>
            </w:r>
          </w:p>
        </w:tc>
        <w:tc>
          <w:tcPr>
            <w:tcW w:type="dxa" w:w="1296"/>
            <w:shd w:val="clear" w:color="auto" w:fill="1E3C78"/>
          </w:tcPr>
          <w:p>
            <w:pPr>
              <w:jc w:val="center"/>
            </w:pPr>
            <w:r>
              <w:rPr>
                <w:rFonts w:ascii="Arial" w:hAnsi="Arial"/>
                <w:b/>
                <w:i w:val="0"/>
                <w:color w:val="FFFFFF"/>
                <w:sz w:val="20"/>
              </w:rPr>
              <w:t>Severity</w:t>
            </w:r>
          </w:p>
        </w:tc>
        <w:tc>
          <w:tcPr>
            <w:tcW w:type="dxa" w:w="2880"/>
            <w:shd w:val="clear" w:color="auto" w:fill="1E3C78"/>
          </w:tcPr>
          <w:p>
            <w:pPr>
              <w:jc w:val="center"/>
            </w:pPr>
            <w:r>
              <w:rPr>
                <w:rFonts w:ascii="Arial" w:hAnsi="Arial"/>
                <w:b/>
                <w:i w:val="0"/>
                <w:color w:val="FFFFFF"/>
                <w:sz w:val="20"/>
              </w:rPr>
              <w:t>Issue</w:t>
            </w:r>
          </w:p>
        </w:tc>
        <w:tc>
          <w:tcPr>
            <w:tcW w:type="dxa" w:w="4320"/>
            <w:shd w:val="clear" w:color="auto" w:fill="1E3C78"/>
          </w:tcPr>
          <w:p>
            <w:pPr>
              <w:jc w:val="center"/>
            </w:pPr>
            <w:r>
              <w:rPr>
                <w:rFonts w:ascii="Arial" w:hAnsi="Arial"/>
                <w:b/>
                <w:i w:val="0"/>
                <w:color w:val="FFFFFF"/>
                <w:sz w:val="20"/>
              </w:rPr>
              <w:t>Details</w:t>
            </w:r>
          </w:p>
        </w:tc>
        <w:tc>
          <w:tcPr>
            <w:tcW w:type="dxa" w:w="3024"/>
            <w:shd w:val="clear" w:color="auto" w:fill="1E3C78"/>
          </w:tcPr>
          <w:p>
            <w:pPr>
              <w:jc w:val="center"/>
            </w:pPr>
            <w:r>
              <w:rPr>
                <w:rFonts w:ascii="Arial" w:hAnsi="Arial"/>
                <w:b/>
                <w:i w:val="0"/>
                <w:color w:val="FFFFFF"/>
                <w:sz w:val="20"/>
              </w:rPr>
              <w:t>Recommendation</w:t>
            </w:r>
          </w:p>
        </w:tc>
      </w:tr>
      <w:tr>
        <w:tc>
          <w:tcPr>
            <w:tcW w:type="dxa" w:w="720"/>
          </w:tcPr>
          <w:p>
            <w:r>
              <w:rPr>
                <w:rFonts w:ascii="Arial" w:hAnsi="Arial"/>
                <w:b w:val="0"/>
                <w:i w:val="0"/>
                <w:color w:val="1E1E1E"/>
                <w:sz w:val="19"/>
              </w:rPr>
              <w:t>S-01</w:t>
            </w:r>
          </w:p>
        </w:tc>
        <w:tc>
          <w:tcPr>
            <w:tcW w:type="dxa" w:w="1296"/>
          </w:tcPr>
          <w:p>
            <w:pPr>
              <w:jc w:val="center"/>
            </w:pPr>
            <w:r>
              <w:rPr>
                <w:rFonts w:ascii="Arial" w:hAnsi="Arial"/>
                <w:b/>
                <w:i w:val="0"/>
                <w:color w:val="C00000"/>
                <w:sz w:val="19"/>
              </w:rPr>
              <w:t>CRITICAL</w:t>
            </w:r>
          </w:p>
        </w:tc>
        <w:tc>
          <w:tcPr>
            <w:tcW w:type="dxa" w:w="2880"/>
          </w:tcPr>
          <w:p>
            <w:r>
              <w:rPr>
                <w:rFonts w:ascii="Arial" w:hAnsi="Arial"/>
                <w:b w:val="0"/>
                <w:i w:val="0"/>
                <w:color w:val="1E1E1E"/>
                <w:sz w:val="19"/>
              </w:rPr>
              <w:t>No Brute-Force / Rate Limiting on Login</w:t>
            </w:r>
          </w:p>
        </w:tc>
        <w:tc>
          <w:tcPr>
            <w:tcW w:type="dxa" w:w="4320"/>
          </w:tcPr>
          <w:p>
            <w:r>
              <w:rPr>
                <w:rFonts w:ascii="Arial" w:hAnsi="Arial"/>
                <w:b w:val="0"/>
                <w:i w:val="0"/>
                <w:color w:val="1E1E1E"/>
                <w:sz w:val="19"/>
              </w:rPr>
              <w:t>The admin login endpoint (/admin/login) does not enforce rate limiting or account lockout. An attacker can attempt unlimited password guesses without triggering any lockout or CAPTCHA.</w:t>
            </w:r>
          </w:p>
        </w:tc>
        <w:tc>
          <w:tcPr>
            <w:tcW w:type="dxa" w:w="3024"/>
          </w:tcPr>
          <w:p>
            <w:r>
              <w:rPr>
                <w:rFonts w:ascii="Arial" w:hAnsi="Arial"/>
                <w:b w:val="0"/>
                <w:i w:val="0"/>
                <w:color w:val="1E1E1E"/>
                <w:sz w:val="19"/>
              </w:rPr>
              <w:t>Implement rate limiting (e.g., 5 attempts per 10 min per IP), account lockout after 10 failures, and optional CAPTCHA after 3 failures.</w:t>
            </w:r>
          </w:p>
        </w:tc>
      </w:tr>
      <w:tr>
        <w:tc>
          <w:tcPr>
            <w:tcW w:type="dxa" w:w="720"/>
          </w:tcPr>
          <w:p>
            <w:r>
              <w:rPr>
                <w:rFonts w:ascii="Arial" w:hAnsi="Arial"/>
                <w:b w:val="0"/>
                <w:i w:val="0"/>
                <w:color w:val="1E1E1E"/>
                <w:sz w:val="19"/>
              </w:rPr>
              <w:t>S-02</w:t>
            </w:r>
          </w:p>
        </w:tc>
        <w:tc>
          <w:tcPr>
            <w:tcW w:type="dxa" w:w="1296"/>
          </w:tcPr>
          <w:p>
            <w:pPr>
              <w:jc w:val="center"/>
            </w:pPr>
            <w:r>
              <w:rPr>
                <w:rFonts w:ascii="Arial" w:hAnsi="Arial"/>
                <w:b/>
                <w:i w:val="0"/>
                <w:color w:val="C00000"/>
                <w:sz w:val="19"/>
              </w:rPr>
              <w:t>CRITICAL</w:t>
            </w:r>
          </w:p>
        </w:tc>
        <w:tc>
          <w:tcPr>
            <w:tcW w:type="dxa" w:w="2880"/>
          </w:tcPr>
          <w:p>
            <w:r>
              <w:rPr>
                <w:rFonts w:ascii="Arial" w:hAnsi="Arial"/>
                <w:b w:val="0"/>
                <w:i w:val="0"/>
                <w:color w:val="1E1E1E"/>
                <w:sz w:val="19"/>
              </w:rPr>
              <w:t>API Lacks Per-Endpoint Authorization Checks</w:t>
            </w:r>
          </w:p>
        </w:tc>
        <w:tc>
          <w:tcPr>
            <w:tcW w:type="dxa" w:w="4320"/>
          </w:tcPr>
          <w:p>
            <w:r>
              <w:rPr>
                <w:rFonts w:ascii="Arial" w:hAnsi="Arial"/>
                <w:b w:val="0"/>
                <w:i w:val="0"/>
                <w:color w:val="1E1E1E"/>
                <w:sz w:val="19"/>
              </w:rPr>
              <w:t>The volunteer mobile API may not enforce fine-grained role checks on individual endpoints. A volunteer token could potentially access or modify records belonging to other volunteers or view admin-only data if endpoint guards are missing.</w:t>
            </w:r>
          </w:p>
        </w:tc>
        <w:tc>
          <w:tcPr>
            <w:tcW w:type="dxa" w:w="3024"/>
          </w:tcPr>
          <w:p>
            <w:r>
              <w:rPr>
                <w:rFonts w:ascii="Arial" w:hAnsi="Arial"/>
                <w:b w:val="0"/>
                <w:i w:val="0"/>
                <w:color w:val="1E1E1E"/>
                <w:sz w:val="19"/>
              </w:rPr>
              <w:t>Implement resource-level authorization (RBAC/ABAC) on every API endpoint. Volunteers should only access their own assigned patients.</w:t>
            </w:r>
          </w:p>
        </w:tc>
      </w:tr>
      <w:tr>
        <w:tc>
          <w:tcPr>
            <w:tcW w:type="dxa" w:w="720"/>
          </w:tcPr>
          <w:p>
            <w:r>
              <w:rPr>
                <w:rFonts w:ascii="Arial" w:hAnsi="Arial"/>
                <w:b w:val="0"/>
                <w:i w:val="0"/>
                <w:color w:val="1E1E1E"/>
                <w:sz w:val="19"/>
              </w:rPr>
              <w:t>S-03</w:t>
            </w:r>
          </w:p>
        </w:tc>
        <w:tc>
          <w:tcPr>
            <w:tcW w:type="dxa" w:w="1296"/>
          </w:tcPr>
          <w:p>
            <w:pPr>
              <w:jc w:val="center"/>
            </w:pPr>
            <w:r>
              <w:rPr>
                <w:rFonts w:ascii="Arial" w:hAnsi="Arial"/>
                <w:b/>
                <w:i w:val="0"/>
                <w:color w:val="C00000"/>
                <w:sz w:val="19"/>
              </w:rPr>
              <w:t>CRITICAL</w:t>
            </w:r>
          </w:p>
        </w:tc>
        <w:tc>
          <w:tcPr>
            <w:tcW w:type="dxa" w:w="2880"/>
          </w:tcPr>
          <w:p>
            <w:r>
              <w:rPr>
                <w:rFonts w:ascii="Arial" w:hAnsi="Arial"/>
                <w:b w:val="0"/>
                <w:i w:val="0"/>
                <w:color w:val="1E1E1E"/>
                <w:sz w:val="19"/>
              </w:rPr>
              <w:t>No Visible Multi-Factor Authentication (MFA) for Admin</w:t>
            </w:r>
          </w:p>
        </w:tc>
        <w:tc>
          <w:tcPr>
            <w:tcW w:type="dxa" w:w="4320"/>
          </w:tcPr>
          <w:p>
            <w:r>
              <w:rPr>
                <w:rFonts w:ascii="Arial" w:hAnsi="Arial"/>
                <w:b w:val="0"/>
                <w:i w:val="0"/>
                <w:color w:val="1E1E1E"/>
                <w:sz w:val="19"/>
              </w:rPr>
              <w:t>The admin panel login page shows only email + password fields. Admins have access to all patient records, making account takeover via credential stuffing a critical risk.</w:t>
            </w:r>
          </w:p>
        </w:tc>
        <w:tc>
          <w:tcPr>
            <w:tcW w:type="dxa" w:w="3024"/>
          </w:tcPr>
          <w:p>
            <w:r>
              <w:rPr>
                <w:rFonts w:ascii="Arial" w:hAnsi="Arial"/>
                <w:b w:val="0"/>
                <w:i w:val="0"/>
                <w:color w:val="1E1E1E"/>
                <w:sz w:val="19"/>
              </w:rPr>
              <w:t>Add TOTP-based MFA (e.g., Google Authenticator) or email OTP for all admin accounts. Make it mandatory, not optional.</w:t>
            </w:r>
          </w:p>
        </w:tc>
      </w:tr>
      <w:tr>
        <w:tc>
          <w:tcPr>
            <w:tcW w:type="dxa" w:w="720"/>
          </w:tcPr>
          <w:p>
            <w:r>
              <w:rPr>
                <w:rFonts w:ascii="Arial" w:hAnsi="Arial"/>
                <w:b w:val="0"/>
                <w:i w:val="0"/>
                <w:color w:val="1E1E1E"/>
                <w:sz w:val="19"/>
              </w:rPr>
              <w:t>S-04</w:t>
            </w:r>
          </w:p>
        </w:tc>
        <w:tc>
          <w:tcPr>
            <w:tcW w:type="dxa" w:w="1296"/>
          </w:tcPr>
          <w:p>
            <w:pPr>
              <w:jc w:val="center"/>
            </w:pPr>
            <w:r>
              <w:rPr>
                <w:rFonts w:ascii="Arial" w:hAnsi="Arial"/>
                <w:b/>
                <w:i w:val="0"/>
                <w:color w:val="C00000"/>
                <w:sz w:val="19"/>
              </w:rPr>
              <w:t>CRITICAL</w:t>
            </w:r>
          </w:p>
        </w:tc>
        <w:tc>
          <w:tcPr>
            <w:tcW w:type="dxa" w:w="2880"/>
          </w:tcPr>
          <w:p>
            <w:r>
              <w:rPr>
                <w:rFonts w:ascii="Arial" w:hAnsi="Arial"/>
                <w:b w:val="0"/>
                <w:i w:val="0"/>
                <w:color w:val="1E1E1E"/>
                <w:sz w:val="19"/>
              </w:rPr>
              <w:t>Password Policy Not Enforced at Login</w:t>
            </w:r>
          </w:p>
        </w:tc>
        <w:tc>
          <w:tcPr>
            <w:tcW w:type="dxa" w:w="4320"/>
          </w:tcPr>
          <w:p>
            <w:r>
              <w:rPr>
                <w:rFonts w:ascii="Arial" w:hAnsi="Arial"/>
                <w:b w:val="0"/>
                <w:i w:val="0"/>
                <w:color w:val="1E1E1E"/>
                <w:sz w:val="19"/>
              </w:rPr>
              <w:t>There is no visible password strength indicator or documented policy. Weak admin passwords such as 'password' (as used in the demo credentials) are accepted.</w:t>
            </w:r>
          </w:p>
        </w:tc>
        <w:tc>
          <w:tcPr>
            <w:tcW w:type="dxa" w:w="3024"/>
          </w:tcPr>
          <w:p>
            <w:r>
              <w:rPr>
                <w:rFonts w:ascii="Arial" w:hAnsi="Arial"/>
                <w:b w:val="0"/>
                <w:i w:val="0"/>
                <w:color w:val="1E1E1E"/>
                <w:sz w:val="19"/>
              </w:rPr>
              <w:t>Enforce minimum password complexity: 12+ chars, mixed case, digits, symbols. Check against breached password databases (e.g., HaveIBeenPwned API). Force change on first login.</w:t>
            </w:r>
          </w:p>
        </w:tc>
      </w:tr>
      <w:tr>
        <w:tc>
          <w:tcPr>
            <w:tcW w:type="dxa" w:w="720"/>
          </w:tcPr>
          <w:p>
            <w:r>
              <w:rPr>
                <w:rFonts w:ascii="Arial" w:hAnsi="Arial"/>
                <w:b w:val="0"/>
                <w:i w:val="0"/>
                <w:color w:val="1E1E1E"/>
                <w:sz w:val="19"/>
              </w:rPr>
              <w:t>S-05</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Session Token Expiry &amp; Invalidation</w:t>
            </w:r>
          </w:p>
        </w:tc>
        <w:tc>
          <w:tcPr>
            <w:tcW w:type="dxa" w:w="4320"/>
          </w:tcPr>
          <w:p>
            <w:r>
              <w:rPr>
                <w:rFonts w:ascii="Arial" w:hAnsi="Arial"/>
                <w:b w:val="0"/>
                <w:i w:val="0"/>
                <w:color w:val="1E1E1E"/>
                <w:sz w:val="19"/>
              </w:rPr>
              <w:t>It is unclear whether JWT/session tokens expire on the server side or are invalidated on logout. If tokens are only cleared client-side, a stolen token remains valid indefinitely.</w:t>
            </w:r>
          </w:p>
        </w:tc>
        <w:tc>
          <w:tcPr>
            <w:tcW w:type="dxa" w:w="3024"/>
          </w:tcPr>
          <w:p>
            <w:r>
              <w:rPr>
                <w:rFonts w:ascii="Arial" w:hAnsi="Arial"/>
                <w:b w:val="0"/>
                <w:i w:val="0"/>
                <w:color w:val="1E1E1E"/>
                <w:sz w:val="19"/>
              </w:rPr>
              <w:t>Implement server-side token blacklisting or short-lived JWT (15–60 min) with refresh token rotation. Invalidate all sessions on password change.</w:t>
            </w:r>
          </w:p>
        </w:tc>
      </w:tr>
      <w:tr>
        <w:tc>
          <w:tcPr>
            <w:tcW w:type="dxa" w:w="720"/>
          </w:tcPr>
          <w:p>
            <w:r>
              <w:rPr>
                <w:rFonts w:ascii="Arial" w:hAnsi="Arial"/>
                <w:b w:val="0"/>
                <w:i w:val="0"/>
                <w:color w:val="1E1E1E"/>
                <w:sz w:val="19"/>
              </w:rPr>
              <w:t>S-06</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HTTP Security Headers Missing or Incomplete</w:t>
            </w:r>
          </w:p>
        </w:tc>
        <w:tc>
          <w:tcPr>
            <w:tcW w:type="dxa" w:w="4320"/>
          </w:tcPr>
          <w:p>
            <w:r>
              <w:rPr>
                <w:rFonts w:ascii="Arial" w:hAnsi="Arial"/>
                <w:b w:val="0"/>
                <w:i w:val="0"/>
                <w:color w:val="1E1E1E"/>
                <w:sz w:val="19"/>
              </w:rPr>
              <w:t>Standard security headers likely absent: Content-Security-Policy, X-Frame-Options, X-Content-Type-Options, Referrer-Policy, Permissions-Policy.</w:t>
            </w:r>
          </w:p>
        </w:tc>
        <w:tc>
          <w:tcPr>
            <w:tcW w:type="dxa" w:w="3024"/>
          </w:tcPr>
          <w:p>
            <w:r>
              <w:rPr>
                <w:rFonts w:ascii="Arial" w:hAnsi="Arial"/>
                <w:b w:val="0"/>
                <w:i w:val="0"/>
                <w:color w:val="1E1E1E"/>
                <w:sz w:val="19"/>
              </w:rPr>
              <w:t>Add all OWASP-recommended security headers. Use a tool like securityheaders.com to verify. Set CSP to restrict script sources.</w:t>
            </w:r>
          </w:p>
        </w:tc>
      </w:tr>
      <w:tr>
        <w:tc>
          <w:tcPr>
            <w:tcW w:type="dxa" w:w="720"/>
          </w:tcPr>
          <w:p>
            <w:r>
              <w:rPr>
                <w:rFonts w:ascii="Arial" w:hAnsi="Arial"/>
                <w:b w:val="0"/>
                <w:i w:val="0"/>
                <w:color w:val="1E1E1E"/>
                <w:sz w:val="19"/>
              </w:rPr>
              <w:t>S-07</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API Tokens Not Scoped / Short-Lived for Volunteers</w:t>
            </w:r>
          </w:p>
        </w:tc>
        <w:tc>
          <w:tcPr>
            <w:tcW w:type="dxa" w:w="4320"/>
          </w:tcPr>
          <w:p>
            <w:r>
              <w:rPr>
                <w:rFonts w:ascii="Arial" w:hAnsi="Arial"/>
                <w:b w:val="0"/>
                <w:i w:val="0"/>
                <w:color w:val="1E1E1E"/>
                <w:sz w:val="19"/>
              </w:rPr>
              <w:t>Volunteer mobile app tokens may be long-lived API keys rather than short-lived OAuth tokens. A compromised device exposes patient data indefinitely.</w:t>
            </w:r>
          </w:p>
        </w:tc>
        <w:tc>
          <w:tcPr>
            <w:tcW w:type="dxa" w:w="3024"/>
          </w:tcPr>
          <w:p>
            <w:r>
              <w:rPr>
                <w:rFonts w:ascii="Arial" w:hAnsi="Arial"/>
                <w:b w:val="0"/>
                <w:i w:val="0"/>
                <w:color w:val="1E1E1E"/>
                <w:sz w:val="19"/>
              </w:rPr>
              <w:t>Issue short-lived access tokens (1–24h) with refresh tokens. Implement token revocation endpoint. Log all token issuance and revocation.</w:t>
            </w:r>
          </w:p>
        </w:tc>
      </w:tr>
      <w:tr>
        <w:tc>
          <w:tcPr>
            <w:tcW w:type="dxa" w:w="720"/>
          </w:tcPr>
          <w:p>
            <w:r>
              <w:rPr>
                <w:rFonts w:ascii="Arial" w:hAnsi="Arial"/>
                <w:b w:val="0"/>
                <w:i w:val="0"/>
                <w:color w:val="1E1E1E"/>
                <w:sz w:val="19"/>
              </w:rPr>
              <w:t>S-08</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No Audit Log for Sensitive Data Access</w:t>
            </w:r>
          </w:p>
        </w:tc>
        <w:tc>
          <w:tcPr>
            <w:tcW w:type="dxa" w:w="4320"/>
          </w:tcPr>
          <w:p>
            <w:r>
              <w:rPr>
                <w:rFonts w:ascii="Arial" w:hAnsi="Arial"/>
                <w:b w:val="0"/>
                <w:i w:val="0"/>
                <w:color w:val="1E1E1E"/>
                <w:sz w:val="19"/>
              </w:rPr>
              <w:t>There is no visible audit trail showing who accessed or modified patient records, when, and from which device/IP. This is a regulatory requirement in most healthcare jurisdictions.</w:t>
            </w:r>
          </w:p>
        </w:tc>
        <w:tc>
          <w:tcPr>
            <w:tcW w:type="dxa" w:w="3024"/>
          </w:tcPr>
          <w:p>
            <w:r>
              <w:rPr>
                <w:rFonts w:ascii="Arial" w:hAnsi="Arial"/>
                <w:b w:val="0"/>
                <w:i w:val="0"/>
                <w:color w:val="1E1E1E"/>
                <w:sz w:val="19"/>
              </w:rPr>
              <w:t>Implement immutable audit logging for all read/write operations on patient records. Store logs separately from the main database.</w:t>
            </w:r>
          </w:p>
        </w:tc>
      </w:tr>
      <w:tr>
        <w:tc>
          <w:tcPr>
            <w:tcW w:type="dxa" w:w="720"/>
          </w:tcPr>
          <w:p>
            <w:r>
              <w:rPr>
                <w:rFonts w:ascii="Arial" w:hAnsi="Arial"/>
                <w:b w:val="0"/>
                <w:i w:val="0"/>
                <w:color w:val="1E1E1E"/>
                <w:sz w:val="19"/>
              </w:rPr>
              <w:t>S-09</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Verbose Error Messages May Leak Implementation Details</w:t>
            </w:r>
          </w:p>
        </w:tc>
        <w:tc>
          <w:tcPr>
            <w:tcW w:type="dxa" w:w="4320"/>
          </w:tcPr>
          <w:p>
            <w:r>
              <w:rPr>
                <w:rFonts w:ascii="Arial" w:hAnsi="Arial"/>
                <w:b w:val="0"/>
                <w:i w:val="0"/>
                <w:color w:val="1E1E1E"/>
                <w:sz w:val="19"/>
              </w:rPr>
              <w:t>Error responses (e.g., wrong password, non-existent email) should return identical messages to prevent user enumeration. API errors may expose stack traces.</w:t>
            </w:r>
          </w:p>
        </w:tc>
        <w:tc>
          <w:tcPr>
            <w:tcW w:type="dxa" w:w="3024"/>
          </w:tcPr>
          <w:p>
            <w:r>
              <w:rPr>
                <w:rFonts w:ascii="Arial" w:hAnsi="Arial"/>
                <w:b w:val="0"/>
                <w:i w:val="0"/>
                <w:color w:val="1E1E1E"/>
                <w:sz w:val="19"/>
              </w:rPr>
              <w:t>Return generic error messages ('Invalid credentials') for auth failures. Disable stack traces in production. Log detailed errors server-side only.</w:t>
            </w:r>
          </w:p>
        </w:tc>
      </w:tr>
      <w:tr>
        <w:tc>
          <w:tcPr>
            <w:tcW w:type="dxa" w:w="720"/>
          </w:tcPr>
          <w:p>
            <w:r>
              <w:rPr>
                <w:rFonts w:ascii="Arial" w:hAnsi="Arial"/>
                <w:b w:val="0"/>
                <w:i w:val="0"/>
                <w:color w:val="1E1E1E"/>
                <w:sz w:val="19"/>
              </w:rPr>
              <w:t>S-10</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CSRF Protection Verification Needed</w:t>
            </w:r>
          </w:p>
        </w:tc>
        <w:tc>
          <w:tcPr>
            <w:tcW w:type="dxa" w:w="4320"/>
          </w:tcPr>
          <w:p>
            <w:r>
              <w:rPr>
                <w:rFonts w:ascii="Arial" w:hAnsi="Arial"/>
                <w:b w:val="0"/>
                <w:i w:val="0"/>
                <w:color w:val="1E1E1E"/>
                <w:sz w:val="19"/>
              </w:rPr>
              <w:t>Admin forms (login, patient creation/edit) should include CSRF tokens. Without these, cross-site request forgery attacks are possible from malicious websites.</w:t>
            </w:r>
          </w:p>
        </w:tc>
        <w:tc>
          <w:tcPr>
            <w:tcW w:type="dxa" w:w="3024"/>
          </w:tcPr>
          <w:p>
            <w:r>
              <w:rPr>
                <w:rFonts w:ascii="Arial" w:hAnsi="Arial"/>
                <w:b w:val="0"/>
                <w:i w:val="0"/>
                <w:color w:val="1E1E1E"/>
                <w:sz w:val="19"/>
              </w:rPr>
              <w:t>Verify CSRF tokens are present on all state-changing forms. Use SameSite=Strict on session cookies.</w:t>
            </w:r>
          </w:p>
        </w:tc>
      </w:tr>
    </w:tbl>
    <w:p/>
    <w:p>
      <w:pPr>
        <w:spacing w:before="280" w:after="120"/>
      </w:pPr>
      <w:r>
        <w:rPr>
          <w:rFonts w:ascii="Arial" w:hAnsi="Arial"/>
          <w:b/>
          <w:i w:val="0"/>
          <w:color w:val="1E5AA0"/>
          <w:sz w:val="36"/>
        </w:rPr>
        <w:t>4. API Design &amp; Volunteer Mobile Integration</w:t>
      </w:r>
    </w:p>
    <w:p>
      <w:pPr>
        <w:spacing w:after="80"/>
      </w:pPr>
      <w:r>
        <w:rPr>
          <w:rFonts w:ascii="Arial" w:hAnsi="Arial"/>
          <w:b w:val="0"/>
          <w:i w:val="0"/>
          <w:sz w:val="22"/>
        </w:rPr>
        <w:t>The volunteer-facing REST API is a critical surface as it is used by external mobile apps to submit patient data. The following issues affect its reliability and correctness: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720"/>
            <w:shd w:val="clear" w:color="auto" w:fill="1E3C78"/>
          </w:tcPr>
          <w:p>
            <w:pPr>
              <w:jc w:val="center"/>
            </w:pPr>
            <w:r>
              <w:rPr>
                <w:rFonts w:ascii="Arial" w:hAnsi="Arial"/>
                <w:b/>
                <w:i w:val="0"/>
                <w:color w:val="FFFFFF"/>
                <w:sz w:val="20"/>
              </w:rPr>
              <w:t>ID</w:t>
            </w:r>
          </w:p>
        </w:tc>
        <w:tc>
          <w:tcPr>
            <w:tcW w:type="dxa" w:w="1296"/>
            <w:shd w:val="clear" w:color="auto" w:fill="1E3C78"/>
          </w:tcPr>
          <w:p>
            <w:pPr>
              <w:jc w:val="center"/>
            </w:pPr>
            <w:r>
              <w:rPr>
                <w:rFonts w:ascii="Arial" w:hAnsi="Arial"/>
                <w:b/>
                <w:i w:val="0"/>
                <w:color w:val="FFFFFF"/>
                <w:sz w:val="20"/>
              </w:rPr>
              <w:t>Severity</w:t>
            </w:r>
          </w:p>
        </w:tc>
        <w:tc>
          <w:tcPr>
            <w:tcW w:type="dxa" w:w="2880"/>
            <w:shd w:val="clear" w:color="auto" w:fill="1E3C78"/>
          </w:tcPr>
          <w:p>
            <w:pPr>
              <w:jc w:val="center"/>
            </w:pPr>
            <w:r>
              <w:rPr>
                <w:rFonts w:ascii="Arial" w:hAnsi="Arial"/>
                <w:b/>
                <w:i w:val="0"/>
                <w:color w:val="FFFFFF"/>
                <w:sz w:val="20"/>
              </w:rPr>
              <w:t>Issue</w:t>
            </w:r>
          </w:p>
        </w:tc>
        <w:tc>
          <w:tcPr>
            <w:tcW w:type="dxa" w:w="4320"/>
            <w:shd w:val="clear" w:color="auto" w:fill="1E3C78"/>
          </w:tcPr>
          <w:p>
            <w:pPr>
              <w:jc w:val="center"/>
            </w:pPr>
            <w:r>
              <w:rPr>
                <w:rFonts w:ascii="Arial" w:hAnsi="Arial"/>
                <w:b/>
                <w:i w:val="0"/>
                <w:color w:val="FFFFFF"/>
                <w:sz w:val="20"/>
              </w:rPr>
              <w:t>Details</w:t>
            </w:r>
          </w:p>
        </w:tc>
        <w:tc>
          <w:tcPr>
            <w:tcW w:type="dxa" w:w="3024"/>
            <w:shd w:val="clear" w:color="auto" w:fill="1E3C78"/>
          </w:tcPr>
          <w:p>
            <w:pPr>
              <w:jc w:val="center"/>
            </w:pPr>
            <w:r>
              <w:rPr>
                <w:rFonts w:ascii="Arial" w:hAnsi="Arial"/>
                <w:b/>
                <w:i w:val="0"/>
                <w:color w:val="FFFFFF"/>
                <w:sz w:val="20"/>
              </w:rPr>
              <w:t>Recommendation</w:t>
            </w:r>
          </w:p>
        </w:tc>
      </w:tr>
      <w:tr>
        <w:tc>
          <w:tcPr>
            <w:tcW w:type="dxa" w:w="720"/>
          </w:tcPr>
          <w:p>
            <w:r>
              <w:rPr>
                <w:rFonts w:ascii="Arial" w:hAnsi="Arial"/>
                <w:b w:val="0"/>
                <w:i w:val="0"/>
                <w:color w:val="1E1E1E"/>
                <w:sz w:val="19"/>
              </w:rPr>
              <w:t>A-01</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No API Versioning</w:t>
            </w:r>
          </w:p>
        </w:tc>
        <w:tc>
          <w:tcPr>
            <w:tcW w:type="dxa" w:w="4320"/>
          </w:tcPr>
          <w:p>
            <w:r>
              <w:rPr>
                <w:rFonts w:ascii="Arial" w:hAnsi="Arial"/>
                <w:b w:val="0"/>
                <w:i w:val="0"/>
                <w:color w:val="1E1E1E"/>
                <w:sz w:val="19"/>
              </w:rPr>
              <w:t>The API lacks versioning (e.g., /api/v1/). When breaking changes are deployed, volunteer mobile apps may break silently without a migration path.</w:t>
            </w:r>
          </w:p>
        </w:tc>
        <w:tc>
          <w:tcPr>
            <w:tcW w:type="dxa" w:w="3024"/>
          </w:tcPr>
          <w:p>
            <w:r>
              <w:rPr>
                <w:rFonts w:ascii="Arial" w:hAnsi="Arial"/>
                <w:b w:val="0"/>
                <w:i w:val="0"/>
                <w:color w:val="1E1E1E"/>
                <w:sz w:val="19"/>
              </w:rPr>
              <w:t>Adopt URL-based versioning (/api/v1/, /api/v2/). Maintain at least one prior version during transitions. Document deprecation timelines.</w:t>
            </w:r>
          </w:p>
        </w:tc>
      </w:tr>
      <w:tr>
        <w:tc>
          <w:tcPr>
            <w:tcW w:type="dxa" w:w="720"/>
          </w:tcPr>
          <w:p>
            <w:r>
              <w:rPr>
                <w:rFonts w:ascii="Arial" w:hAnsi="Arial"/>
                <w:b w:val="0"/>
                <w:i w:val="0"/>
                <w:color w:val="1E1E1E"/>
                <w:sz w:val="19"/>
              </w:rPr>
              <w:t>A-02</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Input Validation Not Enforced Server-Side</w:t>
            </w:r>
          </w:p>
        </w:tc>
        <w:tc>
          <w:tcPr>
            <w:tcW w:type="dxa" w:w="4320"/>
          </w:tcPr>
          <w:p>
            <w:r>
              <w:rPr>
                <w:rFonts w:ascii="Arial" w:hAnsi="Arial"/>
                <w:b w:val="0"/>
                <w:i w:val="0"/>
                <w:color w:val="1E1E1E"/>
                <w:sz w:val="19"/>
              </w:rPr>
              <w:t>Patient data fields (name, date of birth, medical fields) may not be validated on the server, relying only on mobile client validation. This allows malformed or malicious data to enter the database.</w:t>
            </w:r>
          </w:p>
        </w:tc>
        <w:tc>
          <w:tcPr>
            <w:tcW w:type="dxa" w:w="3024"/>
          </w:tcPr>
          <w:p>
            <w:r>
              <w:rPr>
                <w:rFonts w:ascii="Arial" w:hAnsi="Arial"/>
                <w:b w:val="0"/>
                <w:i w:val="0"/>
                <w:color w:val="1E1E1E"/>
                <w:sz w:val="19"/>
              </w:rPr>
              <w:t>Implement strict server-side validation for all fields: type checking, length limits, format validation (dates, phone numbers). Return clear 422 Unprocessable Entity errors with field-level details.</w:t>
            </w:r>
          </w:p>
        </w:tc>
      </w:tr>
      <w:tr>
        <w:tc>
          <w:tcPr>
            <w:tcW w:type="dxa" w:w="720"/>
          </w:tcPr>
          <w:p>
            <w:r>
              <w:rPr>
                <w:rFonts w:ascii="Arial" w:hAnsi="Arial"/>
                <w:b w:val="0"/>
                <w:i w:val="0"/>
                <w:color w:val="1E1E1E"/>
                <w:sz w:val="19"/>
              </w:rPr>
              <w:t>A-03</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No API Documentation / OpenAPI Spec</w:t>
            </w:r>
          </w:p>
        </w:tc>
        <w:tc>
          <w:tcPr>
            <w:tcW w:type="dxa" w:w="4320"/>
          </w:tcPr>
          <w:p>
            <w:r>
              <w:rPr>
                <w:rFonts w:ascii="Arial" w:hAnsi="Arial"/>
                <w:b w:val="0"/>
                <w:i w:val="0"/>
                <w:color w:val="1E1E1E"/>
                <w:sz w:val="19"/>
              </w:rPr>
              <w:t>There is no publicly accessible API documentation (e.g., Swagger UI at /api/docs or /swagger). Volunteer app developers must reverse-engineer the API, leading to integration errors.</w:t>
            </w:r>
          </w:p>
        </w:tc>
        <w:tc>
          <w:tcPr>
            <w:tcW w:type="dxa" w:w="3024"/>
          </w:tcPr>
          <w:p>
            <w:r>
              <w:rPr>
                <w:rFonts w:ascii="Arial" w:hAnsi="Arial"/>
                <w:b w:val="0"/>
                <w:i w:val="0"/>
                <w:color w:val="1E1E1E"/>
                <w:sz w:val="19"/>
              </w:rPr>
              <w:t>Generate and host an OpenAPI 3.0 spec (Swagger UI). Document all endpoints, request/response schemas, error codes, and authentication requirements.</w:t>
            </w:r>
          </w:p>
        </w:tc>
      </w:tr>
      <w:tr>
        <w:tc>
          <w:tcPr>
            <w:tcW w:type="dxa" w:w="720"/>
          </w:tcPr>
          <w:p>
            <w:r>
              <w:rPr>
                <w:rFonts w:ascii="Arial" w:hAnsi="Arial"/>
                <w:b w:val="0"/>
                <w:i w:val="0"/>
                <w:color w:val="1E1E1E"/>
                <w:sz w:val="19"/>
              </w:rPr>
              <w:t>A-04</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Missing Pagination on List Endpoints</w:t>
            </w:r>
          </w:p>
        </w:tc>
        <w:tc>
          <w:tcPr>
            <w:tcW w:type="dxa" w:w="4320"/>
          </w:tcPr>
          <w:p>
            <w:r>
              <w:rPr>
                <w:rFonts w:ascii="Arial" w:hAnsi="Arial"/>
                <w:b w:val="0"/>
                <w:i w:val="0"/>
                <w:color w:val="1E1E1E"/>
                <w:sz w:val="19"/>
              </w:rPr>
              <w:t>Endpoints that return lists of patients or records likely return all records in a single response. As data grows, this will cause memory issues, slow mobile apps, and timeouts.</w:t>
            </w:r>
          </w:p>
        </w:tc>
        <w:tc>
          <w:tcPr>
            <w:tcW w:type="dxa" w:w="3024"/>
          </w:tcPr>
          <w:p>
            <w:r>
              <w:rPr>
                <w:rFonts w:ascii="Arial" w:hAnsi="Arial"/>
                <w:b w:val="0"/>
                <w:i w:val="0"/>
                <w:color w:val="1E1E1E"/>
                <w:sz w:val="19"/>
              </w:rPr>
              <w:t>Add cursor-based or offset pagination to all list endpoints. Default page size: 20–50 records. Return total count and next-page cursor in response envelope.</w:t>
            </w:r>
          </w:p>
        </w:tc>
      </w:tr>
      <w:tr>
        <w:tc>
          <w:tcPr>
            <w:tcW w:type="dxa" w:w="720"/>
          </w:tcPr>
          <w:p>
            <w:r>
              <w:rPr>
                <w:rFonts w:ascii="Arial" w:hAnsi="Arial"/>
                <w:b w:val="0"/>
                <w:i w:val="0"/>
                <w:color w:val="1E1E1E"/>
                <w:sz w:val="19"/>
              </w:rPr>
              <w:t>A-05</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No Offline Sync / Conflict Resolution Strategy</w:t>
            </w:r>
          </w:p>
        </w:tc>
        <w:tc>
          <w:tcPr>
            <w:tcW w:type="dxa" w:w="4320"/>
          </w:tcPr>
          <w:p>
            <w:r>
              <w:rPr>
                <w:rFonts w:ascii="Arial" w:hAnsi="Arial"/>
                <w:b w:val="0"/>
                <w:i w:val="0"/>
                <w:color w:val="1E1E1E"/>
                <w:sz w:val="19"/>
              </w:rPr>
              <w:t>Volunteers may work in areas with poor connectivity. Without offline support and conflict resolution, data submitted after reconnection may overwrite newer server-side changes.</w:t>
            </w:r>
          </w:p>
        </w:tc>
        <w:tc>
          <w:tcPr>
            <w:tcW w:type="dxa" w:w="3024"/>
          </w:tcPr>
          <w:p>
            <w:r>
              <w:rPr>
                <w:rFonts w:ascii="Arial" w:hAnsi="Arial"/>
                <w:b w:val="0"/>
                <w:i w:val="0"/>
                <w:color w:val="1E1E1E"/>
                <w:sz w:val="19"/>
              </w:rPr>
              <w:t>Implement optimistic locking (e.g., ETag / Last-Modified headers). Design a sync queue for offline submissions. Detect and surface conflicts to the volunteer.</w:t>
            </w:r>
          </w:p>
        </w:tc>
      </w:tr>
      <w:tr>
        <w:tc>
          <w:tcPr>
            <w:tcW w:type="dxa" w:w="720"/>
          </w:tcPr>
          <w:p>
            <w:r>
              <w:rPr>
                <w:rFonts w:ascii="Arial" w:hAnsi="Arial"/>
                <w:b w:val="0"/>
                <w:i w:val="0"/>
                <w:color w:val="1E1E1E"/>
                <w:sz w:val="19"/>
              </w:rPr>
              <w:t>A-06</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File Upload Endpoints Need Security Controls</w:t>
            </w:r>
          </w:p>
        </w:tc>
        <w:tc>
          <w:tcPr>
            <w:tcW w:type="dxa" w:w="4320"/>
          </w:tcPr>
          <w:p>
            <w:r>
              <w:rPr>
                <w:rFonts w:ascii="Arial" w:hAnsi="Arial"/>
                <w:b w:val="0"/>
                <w:i w:val="0"/>
                <w:color w:val="1E1E1E"/>
                <w:sz w:val="19"/>
              </w:rPr>
              <w:t>If the API accepts photos or documents for patient records, file uploads must be validated for type, size, and scanned for malware.</w:t>
            </w:r>
          </w:p>
        </w:tc>
        <w:tc>
          <w:tcPr>
            <w:tcW w:type="dxa" w:w="3024"/>
          </w:tcPr>
          <w:p>
            <w:r>
              <w:rPr>
                <w:rFonts w:ascii="Arial" w:hAnsi="Arial"/>
                <w:b w:val="0"/>
                <w:i w:val="0"/>
                <w:color w:val="1E1E1E"/>
                <w:sz w:val="19"/>
              </w:rPr>
              <w:t>Restrict allowed MIME types. Enforce maximum file size (e.g., 5 MB). Store uploads outside the web root. Scan files with ClamAV or equivalent.</w:t>
            </w:r>
          </w:p>
        </w:tc>
      </w:tr>
      <w:tr>
        <w:tc>
          <w:tcPr>
            <w:tcW w:type="dxa" w:w="720"/>
          </w:tcPr>
          <w:p>
            <w:r>
              <w:rPr>
                <w:rFonts w:ascii="Arial" w:hAnsi="Arial"/>
                <w:b w:val="0"/>
                <w:i w:val="0"/>
                <w:color w:val="1E1E1E"/>
                <w:sz w:val="19"/>
              </w:rPr>
              <w:t>A-07</w:t>
            </w:r>
          </w:p>
        </w:tc>
        <w:tc>
          <w:tcPr>
            <w:tcW w:type="dxa" w:w="1296"/>
          </w:tcPr>
          <w:p>
            <w:pPr>
              <w:jc w:val="center"/>
            </w:pPr>
            <w:r>
              <w:rPr>
                <w:rFonts w:ascii="Arial" w:hAnsi="Arial"/>
                <w:b/>
                <w:i w:val="0"/>
                <w:color w:val="007000"/>
                <w:sz w:val="19"/>
              </w:rPr>
              <w:t>LOW</w:t>
            </w:r>
          </w:p>
        </w:tc>
        <w:tc>
          <w:tcPr>
            <w:tcW w:type="dxa" w:w="2880"/>
          </w:tcPr>
          <w:p>
            <w:r>
              <w:rPr>
                <w:rFonts w:ascii="Arial" w:hAnsi="Arial"/>
                <w:b w:val="0"/>
                <w:i w:val="0"/>
                <w:color w:val="1E1E1E"/>
                <w:sz w:val="19"/>
              </w:rPr>
              <w:t>API Returns Inconsistent Response Envelopes</w:t>
            </w:r>
          </w:p>
        </w:tc>
        <w:tc>
          <w:tcPr>
            <w:tcW w:type="dxa" w:w="4320"/>
          </w:tcPr>
          <w:p>
            <w:r>
              <w:rPr>
                <w:rFonts w:ascii="Arial" w:hAnsi="Arial"/>
                <w:b w:val="0"/>
                <w:i w:val="0"/>
                <w:color w:val="1E1E1E"/>
                <w:sz w:val="19"/>
              </w:rPr>
              <w:t>Different endpoints may return data in different formats (e.g., some wrap in {data:...}, others return raw arrays). This complicates mobile app development.</w:t>
            </w:r>
          </w:p>
        </w:tc>
        <w:tc>
          <w:tcPr>
            <w:tcW w:type="dxa" w:w="3024"/>
          </w:tcPr>
          <w:p>
            <w:r>
              <w:rPr>
                <w:rFonts w:ascii="Arial" w:hAnsi="Arial"/>
                <w:b w:val="0"/>
                <w:i w:val="0"/>
                <w:color w:val="1E1E1E"/>
                <w:sz w:val="19"/>
              </w:rPr>
              <w:t>Standardize all API responses: { success, data, error, meta }. Apply consistently across all endpoints.</w:t>
            </w:r>
          </w:p>
        </w:tc>
      </w:tr>
    </w:tbl>
    <w:p/>
    <w:p>
      <w:pPr>
        <w:spacing w:before="280" w:after="120"/>
      </w:pPr>
      <w:r>
        <w:rPr>
          <w:rFonts w:ascii="Arial" w:hAnsi="Arial"/>
          <w:b/>
          <w:i w:val="0"/>
          <w:color w:val="1E5AA0"/>
          <w:sz w:val="36"/>
        </w:rPr>
        <w:t>5. UX / UI &amp; Admin Panel Usability</w:t>
      </w:r>
    </w:p>
    <w:p>
      <w:pPr>
        <w:spacing w:after="80"/>
      </w:pPr>
      <w:r>
        <w:rPr>
          <w:rFonts w:ascii="Arial" w:hAnsi="Arial"/>
          <w:b w:val="0"/>
          <w:i w:val="0"/>
          <w:sz w:val="22"/>
        </w:rPr>
        <w:t>A well-designed admin panel improves efficiency and reduces data entry errors. The following UX issues were identified:</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720"/>
            <w:shd w:val="clear" w:color="auto" w:fill="1E3C78"/>
          </w:tcPr>
          <w:p>
            <w:pPr>
              <w:jc w:val="center"/>
            </w:pPr>
            <w:r>
              <w:rPr>
                <w:rFonts w:ascii="Arial" w:hAnsi="Arial"/>
                <w:b/>
                <w:i w:val="0"/>
                <w:color w:val="FFFFFF"/>
                <w:sz w:val="20"/>
              </w:rPr>
              <w:t>ID</w:t>
            </w:r>
          </w:p>
        </w:tc>
        <w:tc>
          <w:tcPr>
            <w:tcW w:type="dxa" w:w="1296"/>
            <w:shd w:val="clear" w:color="auto" w:fill="1E3C78"/>
          </w:tcPr>
          <w:p>
            <w:pPr>
              <w:jc w:val="center"/>
            </w:pPr>
            <w:r>
              <w:rPr>
                <w:rFonts w:ascii="Arial" w:hAnsi="Arial"/>
                <w:b/>
                <w:i w:val="0"/>
                <w:color w:val="FFFFFF"/>
                <w:sz w:val="20"/>
              </w:rPr>
              <w:t>Severity</w:t>
            </w:r>
          </w:p>
        </w:tc>
        <w:tc>
          <w:tcPr>
            <w:tcW w:type="dxa" w:w="2880"/>
            <w:shd w:val="clear" w:color="auto" w:fill="1E3C78"/>
          </w:tcPr>
          <w:p>
            <w:pPr>
              <w:jc w:val="center"/>
            </w:pPr>
            <w:r>
              <w:rPr>
                <w:rFonts w:ascii="Arial" w:hAnsi="Arial"/>
                <w:b/>
                <w:i w:val="0"/>
                <w:color w:val="FFFFFF"/>
                <w:sz w:val="20"/>
              </w:rPr>
              <w:t>Issue</w:t>
            </w:r>
          </w:p>
        </w:tc>
        <w:tc>
          <w:tcPr>
            <w:tcW w:type="dxa" w:w="4320"/>
            <w:shd w:val="clear" w:color="auto" w:fill="1E3C78"/>
          </w:tcPr>
          <w:p>
            <w:pPr>
              <w:jc w:val="center"/>
            </w:pPr>
            <w:r>
              <w:rPr>
                <w:rFonts w:ascii="Arial" w:hAnsi="Arial"/>
                <w:b/>
                <w:i w:val="0"/>
                <w:color w:val="FFFFFF"/>
                <w:sz w:val="20"/>
              </w:rPr>
              <w:t>Details</w:t>
            </w:r>
          </w:p>
        </w:tc>
        <w:tc>
          <w:tcPr>
            <w:tcW w:type="dxa" w:w="3024"/>
            <w:shd w:val="clear" w:color="auto" w:fill="1E3C78"/>
          </w:tcPr>
          <w:p>
            <w:pPr>
              <w:jc w:val="center"/>
            </w:pPr>
            <w:r>
              <w:rPr>
                <w:rFonts w:ascii="Arial" w:hAnsi="Arial"/>
                <w:b/>
                <w:i w:val="0"/>
                <w:color w:val="FFFFFF"/>
                <w:sz w:val="20"/>
              </w:rPr>
              <w:t>Recommendation</w:t>
            </w:r>
          </w:p>
        </w:tc>
      </w:tr>
      <w:tr>
        <w:tc>
          <w:tcPr>
            <w:tcW w:type="dxa" w:w="720"/>
          </w:tcPr>
          <w:p>
            <w:r>
              <w:rPr>
                <w:rFonts w:ascii="Arial" w:hAnsi="Arial"/>
                <w:b w:val="0"/>
                <w:i w:val="0"/>
                <w:color w:val="1E1E1E"/>
                <w:sz w:val="19"/>
              </w:rPr>
              <w:t>U-01</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No Password Reset Flow Visible</w:t>
            </w:r>
          </w:p>
        </w:tc>
        <w:tc>
          <w:tcPr>
            <w:tcW w:type="dxa" w:w="4320"/>
          </w:tcPr>
          <w:p>
            <w:r>
              <w:rPr>
                <w:rFonts w:ascii="Arial" w:hAnsi="Arial"/>
                <w:b w:val="0"/>
                <w:i w:val="0"/>
                <w:color w:val="1E1E1E"/>
                <w:sz w:val="19"/>
              </w:rPr>
              <w:t>The login page has no 'Forgot Password' link. If an admin loses their password, there is no self-service recovery option, requiring manual database intervention.</w:t>
            </w:r>
          </w:p>
        </w:tc>
        <w:tc>
          <w:tcPr>
            <w:tcW w:type="dxa" w:w="3024"/>
          </w:tcPr>
          <w:p>
            <w:r>
              <w:rPr>
                <w:rFonts w:ascii="Arial" w:hAnsi="Arial"/>
                <w:b w:val="0"/>
                <w:i w:val="0"/>
                <w:color w:val="1E1E1E"/>
                <w:sz w:val="19"/>
              </w:rPr>
              <w:t>Add a 'Forgot Password' link that sends a time-limited reset link to the registered email. Expire reset tokens after 15 minutes.</w:t>
            </w:r>
          </w:p>
        </w:tc>
      </w:tr>
      <w:tr>
        <w:tc>
          <w:tcPr>
            <w:tcW w:type="dxa" w:w="720"/>
          </w:tcPr>
          <w:p>
            <w:r>
              <w:rPr>
                <w:rFonts w:ascii="Arial" w:hAnsi="Arial"/>
                <w:b w:val="0"/>
                <w:i w:val="0"/>
                <w:color w:val="1E1E1E"/>
                <w:sz w:val="19"/>
              </w:rPr>
              <w:t>U-02</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Login Page Lacks Brand Identity &amp; Trust Signals</w:t>
            </w:r>
          </w:p>
        </w:tc>
        <w:tc>
          <w:tcPr>
            <w:tcW w:type="dxa" w:w="4320"/>
          </w:tcPr>
          <w:p>
            <w:r>
              <w:rPr>
                <w:rFonts w:ascii="Arial" w:hAnsi="Arial"/>
                <w:b w:val="0"/>
                <w:i w:val="0"/>
                <w:color w:val="1E1E1E"/>
                <w:sz w:val="19"/>
              </w:rPr>
              <w:t>The login page is minimal and generic ('HealthApp' text only). For a healthcare application handling sensitive patient data, there are no trust indicators or privacy assurances.</w:t>
            </w:r>
          </w:p>
        </w:tc>
        <w:tc>
          <w:tcPr>
            <w:tcW w:type="dxa" w:w="3024"/>
          </w:tcPr>
          <w:p>
            <w:r>
              <w:rPr>
                <w:rFonts w:ascii="Arial" w:hAnsi="Arial"/>
                <w:b w:val="0"/>
                <w:i w:val="0"/>
                <w:color w:val="1E1E1E"/>
                <w:sz w:val="19"/>
              </w:rPr>
              <w:t>Add organization logo, brief privacy statement, last-login display after authentication, and a secure connection indicator.</w:t>
            </w:r>
          </w:p>
        </w:tc>
      </w:tr>
      <w:tr>
        <w:tc>
          <w:tcPr>
            <w:tcW w:type="dxa" w:w="720"/>
          </w:tcPr>
          <w:p>
            <w:r>
              <w:rPr>
                <w:rFonts w:ascii="Arial" w:hAnsi="Arial"/>
                <w:b w:val="0"/>
                <w:i w:val="0"/>
                <w:color w:val="1E1E1E"/>
                <w:sz w:val="19"/>
              </w:rPr>
              <w:t>U-03</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No Dashboard / Home Screen After Login</w:t>
            </w:r>
          </w:p>
        </w:tc>
        <w:tc>
          <w:tcPr>
            <w:tcW w:type="dxa" w:w="4320"/>
          </w:tcPr>
          <w:p>
            <w:r>
              <w:rPr>
                <w:rFonts w:ascii="Arial" w:hAnsi="Arial"/>
                <w:b w:val="0"/>
                <w:i w:val="0"/>
                <w:color w:val="1E1E1E"/>
                <w:sz w:val="19"/>
              </w:rPr>
              <w:t>It is unclear if there is a meaningful dashboard. Admins need at-a-glance KPIs: total patients, recent activity, pending volunteer submissions, data completeness alerts.</w:t>
            </w:r>
          </w:p>
        </w:tc>
        <w:tc>
          <w:tcPr>
            <w:tcW w:type="dxa" w:w="3024"/>
          </w:tcPr>
          <w:p>
            <w:r>
              <w:rPr>
                <w:rFonts w:ascii="Arial" w:hAnsi="Arial"/>
                <w:b w:val="0"/>
                <w:i w:val="0"/>
                <w:color w:val="1E1E1E"/>
                <w:sz w:val="19"/>
              </w:rPr>
              <w:t>Build a dashboard with: patient count, recent registrations, volunteer activity feed, data quality indicators, and quick-action buttons.</w:t>
            </w:r>
          </w:p>
        </w:tc>
      </w:tr>
      <w:tr>
        <w:tc>
          <w:tcPr>
            <w:tcW w:type="dxa" w:w="720"/>
          </w:tcPr>
          <w:p>
            <w:r>
              <w:rPr>
                <w:rFonts w:ascii="Arial" w:hAnsi="Arial"/>
                <w:b w:val="0"/>
                <w:i w:val="0"/>
                <w:color w:val="1E1E1E"/>
                <w:sz w:val="19"/>
              </w:rPr>
              <w:t>U-04</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Accessibility (WCAG 2.1 AA) Compliance</w:t>
            </w:r>
          </w:p>
        </w:tc>
        <w:tc>
          <w:tcPr>
            <w:tcW w:type="dxa" w:w="4320"/>
          </w:tcPr>
          <w:p>
            <w:r>
              <w:rPr>
                <w:rFonts w:ascii="Arial" w:hAnsi="Arial"/>
                <w:b w:val="0"/>
                <w:i w:val="0"/>
                <w:color w:val="1E1E1E"/>
                <w:sz w:val="19"/>
              </w:rPr>
              <w:t>The login page uses placeholder labels but fields may lack proper &lt;label&gt; associations. Color contrast, keyboard navigation, and screen reader support need verification.</w:t>
            </w:r>
          </w:p>
        </w:tc>
        <w:tc>
          <w:tcPr>
            <w:tcW w:type="dxa" w:w="3024"/>
          </w:tcPr>
          <w:p>
            <w:r>
              <w:rPr>
                <w:rFonts w:ascii="Arial" w:hAnsi="Arial"/>
                <w:b w:val="0"/>
                <w:i w:val="0"/>
                <w:color w:val="1E1E1E"/>
                <w:sz w:val="19"/>
              </w:rPr>
              <w:t>Audit with axe or Lighthouse. Fix: proper label/for associations, focus indicators, aria-labels, color contrast &gt;= 4.5:1. Target WCAG 2.1 AA.</w:t>
            </w:r>
          </w:p>
        </w:tc>
      </w:tr>
      <w:tr>
        <w:tc>
          <w:tcPr>
            <w:tcW w:type="dxa" w:w="720"/>
          </w:tcPr>
          <w:p>
            <w:r>
              <w:rPr>
                <w:rFonts w:ascii="Arial" w:hAnsi="Arial"/>
                <w:b w:val="0"/>
                <w:i w:val="0"/>
                <w:color w:val="1E1E1E"/>
                <w:sz w:val="19"/>
              </w:rPr>
              <w:t>U-05</w:t>
            </w:r>
          </w:p>
        </w:tc>
        <w:tc>
          <w:tcPr>
            <w:tcW w:type="dxa" w:w="1296"/>
          </w:tcPr>
          <w:p>
            <w:pPr>
              <w:jc w:val="center"/>
            </w:pPr>
            <w:r>
              <w:rPr>
                <w:rFonts w:ascii="Arial" w:hAnsi="Arial"/>
                <w:b/>
                <w:i w:val="0"/>
                <w:color w:val="007000"/>
                <w:sz w:val="19"/>
              </w:rPr>
              <w:t>LOW</w:t>
            </w:r>
          </w:p>
        </w:tc>
        <w:tc>
          <w:tcPr>
            <w:tcW w:type="dxa" w:w="2880"/>
          </w:tcPr>
          <w:p>
            <w:r>
              <w:rPr>
                <w:rFonts w:ascii="Arial" w:hAnsi="Arial"/>
                <w:b w:val="0"/>
                <w:i w:val="0"/>
                <w:color w:val="1E1E1E"/>
                <w:sz w:val="19"/>
              </w:rPr>
              <w:t>No 'Remember Me' Explanation or Duration</w:t>
            </w:r>
          </w:p>
        </w:tc>
        <w:tc>
          <w:tcPr>
            <w:tcW w:type="dxa" w:w="4320"/>
          </w:tcPr>
          <w:p>
            <w:r>
              <w:rPr>
                <w:rFonts w:ascii="Arial" w:hAnsi="Arial"/>
                <w:b w:val="0"/>
                <w:i w:val="0"/>
                <w:color w:val="1E1E1E"/>
                <w:sz w:val="19"/>
              </w:rPr>
              <w:t>The 'Remember Me' checkbox has no tooltip explaining duration or security implications. Users don't know if it stores a 7-day or 30-day token.</w:t>
            </w:r>
          </w:p>
        </w:tc>
        <w:tc>
          <w:tcPr>
            <w:tcW w:type="dxa" w:w="3024"/>
          </w:tcPr>
          <w:p>
            <w:r>
              <w:rPr>
                <w:rFonts w:ascii="Arial" w:hAnsi="Arial"/>
                <w:b w:val="0"/>
                <w:i w:val="0"/>
                <w:color w:val="1E1E1E"/>
                <w:sz w:val="19"/>
              </w:rPr>
              <w:t>Add a tooltip: 'Keep me signed in for 7 days on this device. Do not use on shared computers.' Set a strict max of 7 days.</w:t>
            </w:r>
          </w:p>
        </w:tc>
      </w:tr>
      <w:tr>
        <w:tc>
          <w:tcPr>
            <w:tcW w:type="dxa" w:w="720"/>
          </w:tcPr>
          <w:p>
            <w:r>
              <w:rPr>
                <w:rFonts w:ascii="Arial" w:hAnsi="Arial"/>
                <w:b w:val="0"/>
                <w:i w:val="0"/>
                <w:color w:val="1E1E1E"/>
                <w:sz w:val="19"/>
              </w:rPr>
              <w:t>U-06</w:t>
            </w:r>
          </w:p>
        </w:tc>
        <w:tc>
          <w:tcPr>
            <w:tcW w:type="dxa" w:w="1296"/>
          </w:tcPr>
          <w:p>
            <w:pPr>
              <w:jc w:val="center"/>
            </w:pPr>
            <w:r>
              <w:rPr>
                <w:rFonts w:ascii="Arial" w:hAnsi="Arial"/>
                <w:b/>
                <w:i w:val="0"/>
                <w:color w:val="007000"/>
                <w:sz w:val="19"/>
              </w:rPr>
              <w:t>LOW</w:t>
            </w:r>
          </w:p>
        </w:tc>
        <w:tc>
          <w:tcPr>
            <w:tcW w:type="dxa" w:w="2880"/>
          </w:tcPr>
          <w:p>
            <w:r>
              <w:rPr>
                <w:rFonts w:ascii="Arial" w:hAnsi="Arial"/>
                <w:b w:val="0"/>
                <w:i w:val="0"/>
                <w:color w:val="1E1E1E"/>
                <w:sz w:val="19"/>
              </w:rPr>
              <w:t>No Loading States or Feedback on Actions</w:t>
            </w:r>
          </w:p>
        </w:tc>
        <w:tc>
          <w:tcPr>
            <w:tcW w:type="dxa" w:w="4320"/>
          </w:tcPr>
          <w:p>
            <w:r>
              <w:rPr>
                <w:rFonts w:ascii="Arial" w:hAnsi="Arial"/>
                <w:b w:val="0"/>
                <w:i w:val="0"/>
                <w:color w:val="1E1E1E"/>
                <w:sz w:val="19"/>
              </w:rPr>
              <w:t>Form submissions likely have no loading indicator, creating uncertainty about whether an action was successfully submitted.</w:t>
            </w:r>
          </w:p>
        </w:tc>
        <w:tc>
          <w:tcPr>
            <w:tcW w:type="dxa" w:w="3024"/>
          </w:tcPr>
          <w:p>
            <w:r>
              <w:rPr>
                <w:rFonts w:ascii="Arial" w:hAnsi="Arial"/>
                <w:b w:val="0"/>
                <w:i w:val="0"/>
                <w:color w:val="1E1E1E"/>
                <w:sz w:val="19"/>
              </w:rPr>
              <w:t>Add loading spinners on form submission buttons. Disable buttons during submission to prevent double-submits. Show success/error toasts after actions.</w:t>
            </w:r>
          </w:p>
        </w:tc>
      </w:tr>
      <w:tr>
        <w:tc>
          <w:tcPr>
            <w:tcW w:type="dxa" w:w="720"/>
          </w:tcPr>
          <w:p>
            <w:r>
              <w:rPr>
                <w:rFonts w:ascii="Arial" w:hAnsi="Arial"/>
                <w:b w:val="0"/>
                <w:i w:val="0"/>
                <w:color w:val="1E1E1E"/>
                <w:sz w:val="19"/>
              </w:rPr>
              <w:t>U-07</w:t>
            </w:r>
          </w:p>
        </w:tc>
        <w:tc>
          <w:tcPr>
            <w:tcW w:type="dxa" w:w="1296"/>
          </w:tcPr>
          <w:p>
            <w:pPr>
              <w:jc w:val="center"/>
            </w:pPr>
            <w:r>
              <w:rPr>
                <w:rFonts w:ascii="Arial" w:hAnsi="Arial"/>
                <w:b/>
                <w:i w:val="0"/>
                <w:color w:val="007000"/>
                <w:sz w:val="19"/>
              </w:rPr>
              <w:t>LOW</w:t>
            </w:r>
          </w:p>
        </w:tc>
        <w:tc>
          <w:tcPr>
            <w:tcW w:type="dxa" w:w="2880"/>
          </w:tcPr>
          <w:p>
            <w:r>
              <w:rPr>
                <w:rFonts w:ascii="Arial" w:hAnsi="Arial"/>
                <w:b w:val="0"/>
                <w:i w:val="0"/>
                <w:color w:val="1E1E1E"/>
                <w:sz w:val="19"/>
              </w:rPr>
              <w:t>Mobile Responsiveness of Admin Panel</w:t>
            </w:r>
          </w:p>
        </w:tc>
        <w:tc>
          <w:tcPr>
            <w:tcW w:type="dxa" w:w="4320"/>
          </w:tcPr>
          <w:p>
            <w:r>
              <w:rPr>
                <w:rFonts w:ascii="Arial" w:hAnsi="Arial"/>
                <w:b w:val="0"/>
                <w:i w:val="0"/>
                <w:color w:val="1E1E1E"/>
                <w:sz w:val="19"/>
              </w:rPr>
              <w:t>The admin panel may not be fully responsive. Admins occasionally need to access the system from mobile devices during field visits.</w:t>
            </w:r>
          </w:p>
        </w:tc>
        <w:tc>
          <w:tcPr>
            <w:tcW w:type="dxa" w:w="3024"/>
          </w:tcPr>
          <w:p>
            <w:r>
              <w:rPr>
                <w:rFonts w:ascii="Arial" w:hAnsi="Arial"/>
                <w:b w:val="0"/>
                <w:i w:val="0"/>
                <w:color w:val="1E1E1E"/>
                <w:sz w:val="19"/>
              </w:rPr>
              <w:t>Ensure admin panel is usable on tablets (768px+). Use responsive tables with horizontal scroll or card-view fallback on small screens.</w:t>
            </w:r>
          </w:p>
        </w:tc>
      </w:tr>
      <w:tr>
        <w:tc>
          <w:tcPr>
            <w:tcW w:type="dxa" w:w="720"/>
          </w:tcPr>
          <w:p>
            <w:r>
              <w:rPr>
                <w:rFonts w:ascii="Arial" w:hAnsi="Arial"/>
                <w:b w:val="0"/>
                <w:i w:val="0"/>
                <w:color w:val="1E1E1E"/>
                <w:sz w:val="19"/>
              </w:rPr>
              <w:t>U-08</w:t>
            </w:r>
          </w:p>
        </w:tc>
        <w:tc>
          <w:tcPr>
            <w:tcW w:type="dxa" w:w="1296"/>
          </w:tcPr>
          <w:p>
            <w:pPr>
              <w:jc w:val="center"/>
            </w:pPr>
            <w:r>
              <w:rPr>
                <w:rFonts w:ascii="Arial" w:hAnsi="Arial"/>
                <w:b/>
                <w:i w:val="0"/>
                <w:color w:val="4472C4"/>
                <w:sz w:val="19"/>
              </w:rPr>
              <w:t>INFO</w:t>
            </w:r>
          </w:p>
        </w:tc>
        <w:tc>
          <w:tcPr>
            <w:tcW w:type="dxa" w:w="2880"/>
          </w:tcPr>
          <w:p>
            <w:r>
              <w:rPr>
                <w:rFonts w:ascii="Arial" w:hAnsi="Arial"/>
                <w:b w:val="0"/>
                <w:i w:val="0"/>
                <w:color w:val="1E1E1E"/>
                <w:sz w:val="19"/>
              </w:rPr>
              <w:t>Dark Mode Support</w:t>
            </w:r>
          </w:p>
        </w:tc>
        <w:tc>
          <w:tcPr>
            <w:tcW w:type="dxa" w:w="4320"/>
          </w:tcPr>
          <w:p>
            <w:r>
              <w:rPr>
                <w:rFonts w:ascii="Arial" w:hAnsi="Arial"/>
                <w:b w:val="0"/>
                <w:i w:val="0"/>
                <w:color w:val="1E1E1E"/>
                <w:sz w:val="19"/>
              </w:rPr>
              <w:t>No dark mode is offered. Medical staff working night shifts benefit from reduced screen brightness.</w:t>
            </w:r>
          </w:p>
        </w:tc>
        <w:tc>
          <w:tcPr>
            <w:tcW w:type="dxa" w:w="3024"/>
          </w:tcPr>
          <w:p>
            <w:r>
              <w:rPr>
                <w:rFonts w:ascii="Arial" w:hAnsi="Arial"/>
                <w:b w:val="0"/>
                <w:i w:val="0"/>
                <w:color w:val="1E1E1E"/>
                <w:sz w:val="19"/>
              </w:rPr>
              <w:t>Add a dark mode toggle stored in user preferences.</w:t>
            </w:r>
          </w:p>
        </w:tc>
      </w:tr>
    </w:tbl>
    <w:p/>
    <w:p>
      <w:pPr>
        <w:spacing w:before="280" w:after="120"/>
      </w:pPr>
      <w:r>
        <w:rPr>
          <w:rFonts w:ascii="Arial" w:hAnsi="Arial"/>
          <w:b/>
          <w:i w:val="0"/>
          <w:color w:val="1E5AA0"/>
          <w:sz w:val="36"/>
        </w:rPr>
        <w:t>6. Data Integrity &amp; Compliance</w:t>
      </w:r>
    </w:p>
    <w:p>
      <w:pPr>
        <w:spacing w:after="80"/>
      </w:pPr>
      <w:r>
        <w:rPr>
          <w:rFonts w:ascii="Arial" w:hAnsi="Arial"/>
          <w:b w:val="0"/>
          <w:i w:val="0"/>
          <w:sz w:val="22"/>
        </w:rPr>
        <w:t>Healthcare applications must meet strict data integrity and regulatory requirements: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720"/>
            <w:shd w:val="clear" w:color="auto" w:fill="1E3C78"/>
          </w:tcPr>
          <w:p>
            <w:pPr>
              <w:jc w:val="center"/>
            </w:pPr>
            <w:r>
              <w:rPr>
                <w:rFonts w:ascii="Arial" w:hAnsi="Arial"/>
                <w:b/>
                <w:i w:val="0"/>
                <w:color w:val="FFFFFF"/>
                <w:sz w:val="20"/>
              </w:rPr>
              <w:t>ID</w:t>
            </w:r>
          </w:p>
        </w:tc>
        <w:tc>
          <w:tcPr>
            <w:tcW w:type="dxa" w:w="1296"/>
            <w:shd w:val="clear" w:color="auto" w:fill="1E3C78"/>
          </w:tcPr>
          <w:p>
            <w:pPr>
              <w:jc w:val="center"/>
            </w:pPr>
            <w:r>
              <w:rPr>
                <w:rFonts w:ascii="Arial" w:hAnsi="Arial"/>
                <w:b/>
                <w:i w:val="0"/>
                <w:color w:val="FFFFFF"/>
                <w:sz w:val="20"/>
              </w:rPr>
              <w:t>Severity</w:t>
            </w:r>
          </w:p>
        </w:tc>
        <w:tc>
          <w:tcPr>
            <w:tcW w:type="dxa" w:w="2880"/>
            <w:shd w:val="clear" w:color="auto" w:fill="1E3C78"/>
          </w:tcPr>
          <w:p>
            <w:pPr>
              <w:jc w:val="center"/>
            </w:pPr>
            <w:r>
              <w:rPr>
                <w:rFonts w:ascii="Arial" w:hAnsi="Arial"/>
                <w:b/>
                <w:i w:val="0"/>
                <w:color w:val="FFFFFF"/>
                <w:sz w:val="20"/>
              </w:rPr>
              <w:t>Issue</w:t>
            </w:r>
          </w:p>
        </w:tc>
        <w:tc>
          <w:tcPr>
            <w:tcW w:type="dxa" w:w="4320"/>
            <w:shd w:val="clear" w:color="auto" w:fill="1E3C78"/>
          </w:tcPr>
          <w:p>
            <w:pPr>
              <w:jc w:val="center"/>
            </w:pPr>
            <w:r>
              <w:rPr>
                <w:rFonts w:ascii="Arial" w:hAnsi="Arial"/>
                <w:b/>
                <w:i w:val="0"/>
                <w:color w:val="FFFFFF"/>
                <w:sz w:val="20"/>
              </w:rPr>
              <w:t>Details</w:t>
            </w:r>
          </w:p>
        </w:tc>
        <w:tc>
          <w:tcPr>
            <w:tcW w:type="dxa" w:w="3024"/>
            <w:shd w:val="clear" w:color="auto" w:fill="1E3C78"/>
          </w:tcPr>
          <w:p>
            <w:pPr>
              <w:jc w:val="center"/>
            </w:pPr>
            <w:r>
              <w:rPr>
                <w:rFonts w:ascii="Arial" w:hAnsi="Arial"/>
                <w:b/>
                <w:i w:val="0"/>
                <w:color w:val="FFFFFF"/>
                <w:sz w:val="20"/>
              </w:rPr>
              <w:t>Recommendation</w:t>
            </w:r>
          </w:p>
        </w:tc>
      </w:tr>
      <w:tr>
        <w:tc>
          <w:tcPr>
            <w:tcW w:type="dxa" w:w="720"/>
          </w:tcPr>
          <w:p>
            <w:r>
              <w:rPr>
                <w:rFonts w:ascii="Arial" w:hAnsi="Arial"/>
                <w:b w:val="0"/>
                <w:i w:val="0"/>
                <w:color w:val="1E1E1E"/>
                <w:sz w:val="19"/>
              </w:rPr>
              <w:t>D-01</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Patient Data Encryption at Rest</w:t>
            </w:r>
          </w:p>
        </w:tc>
        <w:tc>
          <w:tcPr>
            <w:tcW w:type="dxa" w:w="4320"/>
          </w:tcPr>
          <w:p>
            <w:r>
              <w:rPr>
                <w:rFonts w:ascii="Arial" w:hAnsi="Arial"/>
                <w:b w:val="0"/>
                <w:i w:val="0"/>
                <w:color w:val="1E1E1E"/>
                <w:sz w:val="19"/>
              </w:rPr>
              <w:t>It is unknown whether patient PII and medical data is encrypted in the database. Unencrypted data at rest is a violation of HIPAA, GDPR, and most national health data laws.</w:t>
            </w:r>
          </w:p>
        </w:tc>
        <w:tc>
          <w:tcPr>
            <w:tcW w:type="dxa" w:w="3024"/>
          </w:tcPr>
          <w:p>
            <w:r>
              <w:rPr>
                <w:rFonts w:ascii="Arial" w:hAnsi="Arial"/>
                <w:b w:val="0"/>
                <w:i w:val="0"/>
                <w:color w:val="1E1E1E"/>
                <w:sz w:val="19"/>
              </w:rPr>
              <w:t>Encrypt sensitive fields at the application layer (AES-256) in addition to full-disk encryption. Implement key management (e.g., AWS KMS or HashiCorp Vault).</w:t>
            </w:r>
          </w:p>
        </w:tc>
      </w:tr>
      <w:tr>
        <w:tc>
          <w:tcPr>
            <w:tcW w:type="dxa" w:w="720"/>
          </w:tcPr>
          <w:p>
            <w:r>
              <w:rPr>
                <w:rFonts w:ascii="Arial" w:hAnsi="Arial"/>
                <w:b w:val="0"/>
                <w:i w:val="0"/>
                <w:color w:val="1E1E1E"/>
                <w:sz w:val="19"/>
              </w:rPr>
              <w:t>D-02</w:t>
            </w:r>
          </w:p>
        </w:tc>
        <w:tc>
          <w:tcPr>
            <w:tcW w:type="dxa" w:w="1296"/>
          </w:tcPr>
          <w:p>
            <w:pPr>
              <w:jc w:val="center"/>
            </w:pPr>
            <w:r>
              <w:rPr>
                <w:rFonts w:ascii="Arial" w:hAnsi="Arial"/>
                <w:b/>
                <w:i w:val="0"/>
                <w:color w:val="C45911"/>
                <w:sz w:val="19"/>
              </w:rPr>
              <w:t>HIGH</w:t>
            </w:r>
          </w:p>
        </w:tc>
        <w:tc>
          <w:tcPr>
            <w:tcW w:type="dxa" w:w="2880"/>
          </w:tcPr>
          <w:p>
            <w:r>
              <w:rPr>
                <w:rFonts w:ascii="Arial" w:hAnsi="Arial"/>
                <w:b w:val="0"/>
                <w:i w:val="0"/>
                <w:color w:val="1E1E1E"/>
                <w:sz w:val="19"/>
              </w:rPr>
              <w:t>No Data Retention / Deletion Policy</w:t>
            </w:r>
          </w:p>
        </w:tc>
        <w:tc>
          <w:tcPr>
            <w:tcW w:type="dxa" w:w="4320"/>
          </w:tcPr>
          <w:p>
            <w:r>
              <w:rPr>
                <w:rFonts w:ascii="Arial" w:hAnsi="Arial"/>
                <w:b w:val="0"/>
                <w:i w:val="0"/>
                <w:color w:val="1E1E1E"/>
                <w:sz w:val="19"/>
              </w:rPr>
              <w:t>There is no visible mechanism for data retention policies or patient data deletion requests. GDPR Article 17 (Right to Erasure) and similar laws require this capability.</w:t>
            </w:r>
          </w:p>
        </w:tc>
        <w:tc>
          <w:tcPr>
            <w:tcW w:type="dxa" w:w="3024"/>
          </w:tcPr>
          <w:p>
            <w:r>
              <w:rPr>
                <w:rFonts w:ascii="Arial" w:hAnsi="Arial"/>
                <w:b w:val="0"/>
                <w:i w:val="0"/>
                <w:color w:val="1E1E1E"/>
                <w:sz w:val="19"/>
              </w:rPr>
              <w:t>Implement soft-delete with configurable retention periods. Add admin UI for data export (patient right to access) and deletion (right to erasure). Document the policy.</w:t>
            </w:r>
          </w:p>
        </w:tc>
      </w:tr>
      <w:tr>
        <w:tc>
          <w:tcPr>
            <w:tcW w:type="dxa" w:w="720"/>
          </w:tcPr>
          <w:p>
            <w:r>
              <w:rPr>
                <w:rFonts w:ascii="Arial" w:hAnsi="Arial"/>
                <w:b w:val="0"/>
                <w:i w:val="0"/>
                <w:color w:val="1E1E1E"/>
                <w:sz w:val="19"/>
              </w:rPr>
              <w:t>D-03</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Duplicate Patient Record Prevention</w:t>
            </w:r>
          </w:p>
        </w:tc>
        <w:tc>
          <w:tcPr>
            <w:tcW w:type="dxa" w:w="4320"/>
          </w:tcPr>
          <w:p>
            <w:r>
              <w:rPr>
                <w:rFonts w:ascii="Arial" w:hAnsi="Arial"/>
                <w:b w:val="0"/>
                <w:i w:val="0"/>
                <w:color w:val="1E1E1E"/>
                <w:sz w:val="19"/>
              </w:rPr>
              <w:t>No deduplication logic is visible. Volunteer mobile apps submitting the same patient multiple times (network retries, offline sync) could create duplicate records.</w:t>
            </w:r>
          </w:p>
        </w:tc>
        <w:tc>
          <w:tcPr>
            <w:tcW w:type="dxa" w:w="3024"/>
          </w:tcPr>
          <w:p>
            <w:r>
              <w:rPr>
                <w:rFonts w:ascii="Arial" w:hAnsi="Arial"/>
                <w:b w:val="0"/>
                <w:i w:val="0"/>
                <w:color w:val="1E1E1E"/>
                <w:sz w:val="19"/>
              </w:rPr>
              <w:t>Implement idempotency keys on patient creation API calls. Add duplicate detection using name + date of birth + location. Alert admins to potential duplicates.</w:t>
            </w:r>
          </w:p>
        </w:tc>
      </w:tr>
      <w:tr>
        <w:tc>
          <w:tcPr>
            <w:tcW w:type="dxa" w:w="720"/>
          </w:tcPr>
          <w:p>
            <w:r>
              <w:rPr>
                <w:rFonts w:ascii="Arial" w:hAnsi="Arial"/>
                <w:b w:val="0"/>
                <w:i w:val="0"/>
                <w:color w:val="1E1E1E"/>
                <w:sz w:val="19"/>
              </w:rPr>
              <w:t>D-04</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No Data Export / Reporting Feature</w:t>
            </w:r>
          </w:p>
        </w:tc>
        <w:tc>
          <w:tcPr>
            <w:tcW w:type="dxa" w:w="4320"/>
          </w:tcPr>
          <w:p>
            <w:r>
              <w:rPr>
                <w:rFonts w:ascii="Arial" w:hAnsi="Arial"/>
                <w:b w:val="0"/>
                <w:i w:val="0"/>
                <w:color w:val="1E1E1E"/>
                <w:sz w:val="19"/>
              </w:rPr>
              <w:t>Admins need to export patient data for reporting to health authorities or for analysis. Without export, data is locked inside the application.</w:t>
            </w:r>
          </w:p>
        </w:tc>
        <w:tc>
          <w:tcPr>
            <w:tcW w:type="dxa" w:w="3024"/>
          </w:tcPr>
          <w:p>
            <w:r>
              <w:rPr>
                <w:rFonts w:ascii="Arial" w:hAnsi="Arial"/>
                <w:b w:val="0"/>
                <w:i w:val="0"/>
                <w:color w:val="1E1E1E"/>
                <w:sz w:val="19"/>
              </w:rPr>
              <w:t>Add CSV/Excel export for patient lists and volunteer activity reports. Add date-range filters. Log all exports in the audit trail.</w:t>
            </w:r>
          </w:p>
        </w:tc>
      </w:tr>
      <w:tr>
        <w:tc>
          <w:tcPr>
            <w:tcW w:type="dxa" w:w="720"/>
          </w:tcPr>
          <w:p>
            <w:r>
              <w:rPr>
                <w:rFonts w:ascii="Arial" w:hAnsi="Arial"/>
                <w:b w:val="0"/>
                <w:i w:val="0"/>
                <w:color w:val="1E1E1E"/>
                <w:sz w:val="19"/>
              </w:rPr>
              <w:t>D-05</w:t>
            </w:r>
          </w:p>
        </w:tc>
        <w:tc>
          <w:tcPr>
            <w:tcW w:type="dxa" w:w="1296"/>
          </w:tcPr>
          <w:p>
            <w:pPr>
              <w:jc w:val="center"/>
            </w:pPr>
            <w:r>
              <w:rPr>
                <w:rFonts w:ascii="Arial" w:hAnsi="Arial"/>
                <w:b/>
                <w:i w:val="0"/>
                <w:color w:val="4472C4"/>
                <w:sz w:val="19"/>
              </w:rPr>
              <w:t>INFO</w:t>
            </w:r>
          </w:p>
        </w:tc>
        <w:tc>
          <w:tcPr>
            <w:tcW w:type="dxa" w:w="2880"/>
          </w:tcPr>
          <w:p>
            <w:r>
              <w:rPr>
                <w:rFonts w:ascii="Arial" w:hAnsi="Arial"/>
                <w:b w:val="0"/>
                <w:i w:val="0"/>
                <w:color w:val="1E1E1E"/>
                <w:sz w:val="19"/>
              </w:rPr>
              <w:t>Backup &amp; Recovery Documentation</w:t>
            </w:r>
          </w:p>
        </w:tc>
        <w:tc>
          <w:tcPr>
            <w:tcW w:type="dxa" w:w="4320"/>
          </w:tcPr>
          <w:p>
            <w:r>
              <w:rPr>
                <w:rFonts w:ascii="Arial" w:hAnsi="Arial"/>
                <w:b w:val="0"/>
                <w:i w:val="0"/>
                <w:color w:val="1E1E1E"/>
                <w:sz w:val="19"/>
              </w:rPr>
              <w:t>There is no visible documentation about database backup frequency or recovery procedures.</w:t>
            </w:r>
          </w:p>
        </w:tc>
        <w:tc>
          <w:tcPr>
            <w:tcW w:type="dxa" w:w="3024"/>
          </w:tcPr>
          <w:p>
            <w:r>
              <w:rPr>
                <w:rFonts w:ascii="Arial" w:hAnsi="Arial"/>
                <w:b w:val="0"/>
                <w:i w:val="0"/>
                <w:color w:val="1E1E1E"/>
                <w:sz w:val="19"/>
              </w:rPr>
              <w:t>Document RTO/RPO targets. Ensure automated daily backups with 30-day retention. Test restore procedures quarterly.</w:t>
            </w:r>
          </w:p>
        </w:tc>
      </w:tr>
    </w:tbl>
    <w:p/>
    <w:p>
      <w:pPr>
        <w:spacing w:before="280" w:after="120"/>
      </w:pPr>
      <w:r>
        <w:rPr>
          <w:rFonts w:ascii="Arial" w:hAnsi="Arial"/>
          <w:b/>
          <w:i w:val="0"/>
          <w:color w:val="1E5AA0"/>
          <w:sz w:val="36"/>
        </w:rPr>
        <w:t>7. Performance &amp; Scalability</w:t>
      </w:r>
    </w:p>
    <w:p>
      <w:pPr>
        <w:spacing w:after="80"/>
      </w:pPr>
      <w:r>
        <w:rPr>
          <w:rFonts w:ascii="Arial" w:hAnsi="Arial"/>
          <w:b w:val="0"/>
          <w:i w:val="0"/>
          <w:sz w:val="22"/>
        </w:rPr>
        <w:t>As the volunteer network and patient database grows, performance issues will emerge without proactive optimization:</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720"/>
            <w:shd w:val="clear" w:color="auto" w:fill="1E3C78"/>
          </w:tcPr>
          <w:p>
            <w:pPr>
              <w:jc w:val="center"/>
            </w:pPr>
            <w:r>
              <w:rPr>
                <w:rFonts w:ascii="Arial" w:hAnsi="Arial"/>
                <w:b/>
                <w:i w:val="0"/>
                <w:color w:val="FFFFFF"/>
                <w:sz w:val="20"/>
              </w:rPr>
              <w:t>ID</w:t>
            </w:r>
          </w:p>
        </w:tc>
        <w:tc>
          <w:tcPr>
            <w:tcW w:type="dxa" w:w="1296"/>
            <w:shd w:val="clear" w:color="auto" w:fill="1E3C78"/>
          </w:tcPr>
          <w:p>
            <w:pPr>
              <w:jc w:val="center"/>
            </w:pPr>
            <w:r>
              <w:rPr>
                <w:rFonts w:ascii="Arial" w:hAnsi="Arial"/>
                <w:b/>
                <w:i w:val="0"/>
                <w:color w:val="FFFFFF"/>
                <w:sz w:val="20"/>
              </w:rPr>
              <w:t>Severity</w:t>
            </w:r>
          </w:p>
        </w:tc>
        <w:tc>
          <w:tcPr>
            <w:tcW w:type="dxa" w:w="2880"/>
            <w:shd w:val="clear" w:color="auto" w:fill="1E3C78"/>
          </w:tcPr>
          <w:p>
            <w:pPr>
              <w:jc w:val="center"/>
            </w:pPr>
            <w:r>
              <w:rPr>
                <w:rFonts w:ascii="Arial" w:hAnsi="Arial"/>
                <w:b/>
                <w:i w:val="0"/>
                <w:color w:val="FFFFFF"/>
                <w:sz w:val="20"/>
              </w:rPr>
              <w:t>Issue</w:t>
            </w:r>
          </w:p>
        </w:tc>
        <w:tc>
          <w:tcPr>
            <w:tcW w:type="dxa" w:w="4320"/>
            <w:shd w:val="clear" w:color="auto" w:fill="1E3C78"/>
          </w:tcPr>
          <w:p>
            <w:pPr>
              <w:jc w:val="center"/>
            </w:pPr>
            <w:r>
              <w:rPr>
                <w:rFonts w:ascii="Arial" w:hAnsi="Arial"/>
                <w:b/>
                <w:i w:val="0"/>
                <w:color w:val="FFFFFF"/>
                <w:sz w:val="20"/>
              </w:rPr>
              <w:t>Details</w:t>
            </w:r>
          </w:p>
        </w:tc>
        <w:tc>
          <w:tcPr>
            <w:tcW w:type="dxa" w:w="3024"/>
            <w:shd w:val="clear" w:color="auto" w:fill="1E3C78"/>
          </w:tcPr>
          <w:p>
            <w:pPr>
              <w:jc w:val="center"/>
            </w:pPr>
            <w:r>
              <w:rPr>
                <w:rFonts w:ascii="Arial" w:hAnsi="Arial"/>
                <w:b/>
                <w:i w:val="0"/>
                <w:color w:val="FFFFFF"/>
                <w:sz w:val="20"/>
              </w:rPr>
              <w:t>Recommendation</w:t>
            </w:r>
          </w:p>
        </w:tc>
      </w:tr>
      <w:tr>
        <w:tc>
          <w:tcPr>
            <w:tcW w:type="dxa" w:w="720"/>
          </w:tcPr>
          <w:p>
            <w:r>
              <w:rPr>
                <w:rFonts w:ascii="Arial" w:hAnsi="Arial"/>
                <w:b w:val="0"/>
                <w:i w:val="0"/>
                <w:color w:val="1E1E1E"/>
                <w:sz w:val="19"/>
              </w:rPr>
              <w:t>P-01</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Database Query Optimization &amp; Indexing</w:t>
            </w:r>
          </w:p>
        </w:tc>
        <w:tc>
          <w:tcPr>
            <w:tcW w:type="dxa" w:w="4320"/>
          </w:tcPr>
          <w:p>
            <w:r>
              <w:rPr>
                <w:rFonts w:ascii="Arial" w:hAnsi="Arial"/>
                <w:b w:val="0"/>
                <w:i w:val="0"/>
                <w:color w:val="1E1E1E"/>
                <w:sz w:val="19"/>
              </w:rPr>
              <w:t>Patient search and list queries across large datasets will degrade without proper indexes. Common fields queried (name, region, date) must be indexed.</w:t>
            </w:r>
          </w:p>
        </w:tc>
        <w:tc>
          <w:tcPr>
            <w:tcW w:type="dxa" w:w="3024"/>
          </w:tcPr>
          <w:p>
            <w:r>
              <w:rPr>
                <w:rFonts w:ascii="Arial" w:hAnsi="Arial"/>
                <w:b w:val="0"/>
                <w:i w:val="0"/>
                <w:color w:val="1E1E1E"/>
                <w:sz w:val="19"/>
              </w:rPr>
              <w:t>Add database indexes on frequently queried fields. Use EXPLAIN ANALYZE on slow queries. Consider read replicas for reporting queries.</w:t>
            </w:r>
          </w:p>
        </w:tc>
      </w:tr>
      <w:tr>
        <w:tc>
          <w:tcPr>
            <w:tcW w:type="dxa" w:w="720"/>
          </w:tcPr>
          <w:p>
            <w:r>
              <w:rPr>
                <w:rFonts w:ascii="Arial" w:hAnsi="Arial"/>
                <w:b w:val="0"/>
                <w:i w:val="0"/>
                <w:color w:val="1E1E1E"/>
                <w:sz w:val="19"/>
              </w:rPr>
              <w:t>P-02</w:t>
            </w:r>
          </w:p>
        </w:tc>
        <w:tc>
          <w:tcPr>
            <w:tcW w:type="dxa" w:w="1296"/>
          </w:tcPr>
          <w:p>
            <w:pPr>
              <w:jc w:val="center"/>
            </w:pPr>
            <w:r>
              <w:rPr>
                <w:rFonts w:ascii="Arial" w:hAnsi="Arial"/>
                <w:b/>
                <w:i w:val="0"/>
                <w:color w:val="9B7700"/>
                <w:sz w:val="19"/>
              </w:rPr>
              <w:t>MEDIUM</w:t>
            </w:r>
          </w:p>
        </w:tc>
        <w:tc>
          <w:tcPr>
            <w:tcW w:type="dxa" w:w="2880"/>
          </w:tcPr>
          <w:p>
            <w:r>
              <w:rPr>
                <w:rFonts w:ascii="Arial" w:hAnsi="Arial"/>
                <w:b w:val="0"/>
                <w:i w:val="0"/>
                <w:color w:val="1E1E1E"/>
                <w:sz w:val="19"/>
              </w:rPr>
              <w:t>No Caching Layer</w:t>
            </w:r>
          </w:p>
        </w:tc>
        <w:tc>
          <w:tcPr>
            <w:tcW w:type="dxa" w:w="4320"/>
          </w:tcPr>
          <w:p>
            <w:r>
              <w:rPr>
                <w:rFonts w:ascii="Arial" w:hAnsi="Arial"/>
                <w:b w:val="0"/>
                <w:i w:val="0"/>
                <w:color w:val="1E1E1E"/>
                <w:sz w:val="19"/>
              </w:rPr>
              <w:t>Repeated requests for the same data (volunteer lists, static dropdowns, region lists) hit the database every time.</w:t>
            </w:r>
          </w:p>
        </w:tc>
        <w:tc>
          <w:tcPr>
            <w:tcW w:type="dxa" w:w="3024"/>
          </w:tcPr>
          <w:p>
            <w:r>
              <w:rPr>
                <w:rFonts w:ascii="Arial" w:hAnsi="Arial"/>
                <w:b w:val="0"/>
                <w:i w:val="0"/>
                <w:color w:val="1E1E1E"/>
                <w:sz w:val="19"/>
              </w:rPr>
              <w:t>Implement Redis caching for static/semi-static data. Cache API responses where appropriate with appropriate TTLs.</w:t>
            </w:r>
          </w:p>
        </w:tc>
      </w:tr>
      <w:tr>
        <w:tc>
          <w:tcPr>
            <w:tcW w:type="dxa" w:w="720"/>
          </w:tcPr>
          <w:p>
            <w:r>
              <w:rPr>
                <w:rFonts w:ascii="Arial" w:hAnsi="Arial"/>
                <w:b w:val="0"/>
                <w:i w:val="0"/>
                <w:color w:val="1E1E1E"/>
                <w:sz w:val="19"/>
              </w:rPr>
              <w:t>P-03</w:t>
            </w:r>
          </w:p>
        </w:tc>
        <w:tc>
          <w:tcPr>
            <w:tcW w:type="dxa" w:w="1296"/>
          </w:tcPr>
          <w:p>
            <w:pPr>
              <w:jc w:val="center"/>
            </w:pPr>
            <w:r>
              <w:rPr>
                <w:rFonts w:ascii="Arial" w:hAnsi="Arial"/>
                <w:b/>
                <w:i w:val="0"/>
                <w:color w:val="007000"/>
                <w:sz w:val="19"/>
              </w:rPr>
              <w:t>LOW</w:t>
            </w:r>
          </w:p>
        </w:tc>
        <w:tc>
          <w:tcPr>
            <w:tcW w:type="dxa" w:w="2880"/>
          </w:tcPr>
          <w:p>
            <w:r>
              <w:rPr>
                <w:rFonts w:ascii="Arial" w:hAnsi="Arial"/>
                <w:b w:val="0"/>
                <w:i w:val="0"/>
                <w:color w:val="1E1E1E"/>
                <w:sz w:val="19"/>
              </w:rPr>
              <w:t>API Response Payload Size</w:t>
            </w:r>
          </w:p>
        </w:tc>
        <w:tc>
          <w:tcPr>
            <w:tcW w:type="dxa" w:w="4320"/>
          </w:tcPr>
          <w:p>
            <w:r>
              <w:rPr>
                <w:rFonts w:ascii="Arial" w:hAnsi="Arial"/>
                <w:b w:val="0"/>
                <w:i w:val="0"/>
                <w:color w:val="1E1E1E"/>
                <w:sz w:val="19"/>
              </w:rPr>
              <w:t>API responses may return entire patient objects when only a subset of fields is needed by the mobile app, increasing bandwidth and parse time on mobile devices.</w:t>
            </w:r>
          </w:p>
        </w:tc>
        <w:tc>
          <w:tcPr>
            <w:tcW w:type="dxa" w:w="3024"/>
          </w:tcPr>
          <w:p>
            <w:r>
              <w:rPr>
                <w:rFonts w:ascii="Arial" w:hAnsi="Arial"/>
                <w:b w:val="0"/>
                <w:i w:val="0"/>
                <w:color w:val="1E1E1E"/>
                <w:sz w:val="19"/>
              </w:rPr>
              <w:t>Support field selection (e.g., ?fields=id,name,dob) or use GraphQL. This is especially important for volunteers on slow mobile connections.</w:t>
            </w:r>
          </w:p>
        </w:tc>
      </w:tr>
      <w:tr>
        <w:tc>
          <w:tcPr>
            <w:tcW w:type="dxa" w:w="720"/>
          </w:tcPr>
          <w:p>
            <w:r>
              <w:rPr>
                <w:rFonts w:ascii="Arial" w:hAnsi="Arial"/>
                <w:b w:val="0"/>
                <w:i w:val="0"/>
                <w:color w:val="1E1E1E"/>
                <w:sz w:val="19"/>
              </w:rPr>
              <w:t>P-04</w:t>
            </w:r>
          </w:p>
        </w:tc>
        <w:tc>
          <w:tcPr>
            <w:tcW w:type="dxa" w:w="1296"/>
          </w:tcPr>
          <w:p>
            <w:pPr>
              <w:jc w:val="center"/>
            </w:pPr>
            <w:r>
              <w:rPr>
                <w:rFonts w:ascii="Arial" w:hAnsi="Arial"/>
                <w:b/>
                <w:i w:val="0"/>
                <w:color w:val="4472C4"/>
                <w:sz w:val="19"/>
              </w:rPr>
              <w:t>INFO</w:t>
            </w:r>
          </w:p>
        </w:tc>
        <w:tc>
          <w:tcPr>
            <w:tcW w:type="dxa" w:w="2880"/>
          </w:tcPr>
          <w:p>
            <w:r>
              <w:rPr>
                <w:rFonts w:ascii="Arial" w:hAnsi="Arial"/>
                <w:b w:val="0"/>
                <w:i w:val="0"/>
                <w:color w:val="1E1E1E"/>
                <w:sz w:val="19"/>
              </w:rPr>
              <w:t>No Health Check / Status Endpoint</w:t>
            </w:r>
          </w:p>
        </w:tc>
        <w:tc>
          <w:tcPr>
            <w:tcW w:type="dxa" w:w="4320"/>
          </w:tcPr>
          <w:p>
            <w:r>
              <w:rPr>
                <w:rFonts w:ascii="Arial" w:hAnsi="Arial"/>
                <w:b w:val="0"/>
                <w:i w:val="0"/>
                <w:color w:val="1E1E1E"/>
                <w:sz w:val="19"/>
              </w:rPr>
              <w:t>There is no /health or /status endpoint for monitoring uptime and service health.</w:t>
            </w:r>
          </w:p>
        </w:tc>
        <w:tc>
          <w:tcPr>
            <w:tcW w:type="dxa" w:w="3024"/>
          </w:tcPr>
          <w:p>
            <w:r>
              <w:rPr>
                <w:rFonts w:ascii="Arial" w:hAnsi="Arial"/>
                <w:b w:val="0"/>
                <w:i w:val="0"/>
                <w:color w:val="1E1E1E"/>
                <w:sz w:val="19"/>
              </w:rPr>
              <w:t>Add a /api/health endpoint returning service status, database connectivity, and version. Integrate with an uptime monitor (e.g., UptimeRobot, Datadog).</w:t>
            </w:r>
          </w:p>
        </w:tc>
      </w:tr>
    </w:tbl>
    <w:p/>
    <w:p>
      <w:pPr>
        <w:spacing w:before="280" w:after="120"/>
      </w:pPr>
      <w:r>
        <w:rPr>
          <w:rFonts w:ascii="Arial" w:hAnsi="Arial"/>
          <w:b/>
          <w:i w:val="0"/>
          <w:color w:val="1E5AA0"/>
          <w:sz w:val="36"/>
        </w:rPr>
        <w:t>8. Feature Improvement Roadmap</w:t>
      </w:r>
    </w:p>
    <w:p>
      <w:pPr>
        <w:spacing w:after="80"/>
      </w:pPr>
      <w:r>
        <w:rPr>
          <w:rFonts w:ascii="Arial" w:hAnsi="Arial"/>
          <w:b w:val="0"/>
          <w:i w:val="0"/>
          <w:sz w:val="22"/>
        </w:rPr>
        <w:t>Beyond fixing bugs, the following features would significantly increase the application's value:</w:t>
      </w:r>
    </w:p>
    <w:p>
      <w:pPr>
        <w:spacing w:before="200" w:after="120"/>
      </w:pPr>
      <w:r>
        <w:rPr>
          <w:rFonts w:ascii="Arial" w:hAnsi="Arial"/>
          <w:b/>
          <w:i w:val="0"/>
          <w:color w:val="1E5AA0"/>
          <w:sz w:val="28"/>
        </w:rPr>
        <w:t>8.1 Short-Term (0–4 Weeks)</w:t>
      </w:r>
    </w:p>
    <w:p>
      <w:pPr>
        <w:pStyle w:val="ListBullet"/>
        <w:spacing w:after="60"/>
        <w:ind w:left="432"/>
      </w:pPr>
      <w:r>
        <w:rPr>
          <w:rFonts w:ascii="Arial" w:hAnsi="Arial"/>
          <w:b w:val="0"/>
          <w:i w:val="0"/>
          <w:sz w:val="21"/>
        </w:rPr>
        <w:t>Fix all CRITICAL security issues (S-01 through S-04) — rate limiting, MFA, password policy</w:t>
      </w:r>
    </w:p>
    <w:p>
      <w:pPr>
        <w:pStyle w:val="ListBullet"/>
        <w:spacing w:after="60"/>
        <w:ind w:left="432"/>
      </w:pPr>
      <w:r>
        <w:rPr>
          <w:rFonts w:ascii="Arial" w:hAnsi="Arial"/>
          <w:b w:val="0"/>
          <w:i w:val="0"/>
          <w:sz w:val="21"/>
        </w:rPr>
        <w:t>Add Forgot Password self-service flow (U-01)</w:t>
      </w:r>
    </w:p>
    <w:p>
      <w:pPr>
        <w:pStyle w:val="ListBullet"/>
        <w:spacing w:after="60"/>
        <w:ind w:left="432"/>
      </w:pPr>
      <w:r>
        <w:rPr>
          <w:rFonts w:ascii="Arial" w:hAnsi="Arial"/>
          <w:b w:val="0"/>
          <w:i w:val="0"/>
          <w:sz w:val="21"/>
        </w:rPr>
        <w:t>Add server-side input validation on all API endpoints (A-02)</w:t>
      </w:r>
    </w:p>
    <w:p>
      <w:pPr>
        <w:pStyle w:val="ListBullet"/>
        <w:spacing w:after="60"/>
        <w:ind w:left="432"/>
      </w:pPr>
      <w:r>
        <w:rPr>
          <w:rFonts w:ascii="Arial" w:hAnsi="Arial"/>
          <w:b w:val="0"/>
          <w:i w:val="0"/>
          <w:sz w:val="21"/>
        </w:rPr>
        <w:t>Deploy standard HTTP security headers (S-06)</w:t>
      </w:r>
    </w:p>
    <w:p>
      <w:pPr>
        <w:pStyle w:val="ListBullet"/>
        <w:spacing w:after="60"/>
        <w:ind w:left="432"/>
      </w:pPr>
      <w:r>
        <w:rPr>
          <w:rFonts w:ascii="Arial" w:hAnsi="Arial"/>
          <w:b w:val="0"/>
          <w:i w:val="0"/>
          <w:sz w:val="21"/>
        </w:rPr>
        <w:t>Add API documentation via Swagger/OpenAPI (A-03)</w:t>
      </w:r>
    </w:p>
    <w:p>
      <w:pPr>
        <w:pStyle w:val="ListBullet"/>
        <w:spacing w:after="60"/>
        <w:ind w:left="432"/>
      </w:pPr>
      <w:r>
        <w:rPr>
          <w:rFonts w:ascii="Arial" w:hAnsi="Arial"/>
          <w:b w:val="0"/>
          <w:i w:val="0"/>
          <w:sz w:val="21"/>
        </w:rPr>
        <w:t>Add audit logging for patient record access and modification (S-08)</w:t>
      </w:r>
    </w:p>
    <w:p>
      <w:pPr>
        <w:spacing w:before="200" w:after="120"/>
      </w:pPr>
      <w:r>
        <w:rPr>
          <w:rFonts w:ascii="Arial" w:hAnsi="Arial"/>
          <w:b/>
          <w:i w:val="0"/>
          <w:color w:val="1E5AA0"/>
          <w:sz w:val="28"/>
        </w:rPr>
        <w:t>8.2 Medium-Term (1–2 Months)</w:t>
      </w:r>
    </w:p>
    <w:p>
      <w:pPr>
        <w:pStyle w:val="ListBullet"/>
        <w:spacing w:after="60"/>
        <w:ind w:left="432"/>
      </w:pPr>
      <w:r>
        <w:rPr>
          <w:rFonts w:ascii="Arial" w:hAnsi="Arial"/>
          <w:b w:val="0"/>
          <w:i w:val="0"/>
          <w:sz w:val="21"/>
        </w:rPr>
        <w:t>Build admin dashboard with KPIs and activity feed (U-03)</w:t>
      </w:r>
    </w:p>
    <w:p>
      <w:pPr>
        <w:pStyle w:val="ListBullet"/>
        <w:spacing w:after="60"/>
        <w:ind w:left="432"/>
      </w:pPr>
      <w:r>
        <w:rPr>
          <w:rFonts w:ascii="Arial" w:hAnsi="Arial"/>
          <w:b w:val="0"/>
          <w:i w:val="0"/>
          <w:sz w:val="21"/>
        </w:rPr>
        <w:t>Implement API versioning scheme (A-01)</w:t>
      </w:r>
    </w:p>
    <w:p>
      <w:pPr>
        <w:pStyle w:val="ListBullet"/>
        <w:spacing w:after="60"/>
        <w:ind w:left="432"/>
      </w:pPr>
      <w:r>
        <w:rPr>
          <w:rFonts w:ascii="Arial" w:hAnsi="Arial"/>
          <w:b w:val="0"/>
          <w:i w:val="0"/>
          <w:sz w:val="21"/>
        </w:rPr>
        <w:t>Add pagination to all list endpoints (A-04)</w:t>
      </w:r>
    </w:p>
    <w:p>
      <w:pPr>
        <w:pStyle w:val="ListBullet"/>
        <w:spacing w:after="60"/>
        <w:ind w:left="432"/>
      </w:pPr>
      <w:r>
        <w:rPr>
          <w:rFonts w:ascii="Arial" w:hAnsi="Arial"/>
          <w:b w:val="0"/>
          <w:i w:val="0"/>
          <w:sz w:val="21"/>
        </w:rPr>
        <w:t>Implement offline sync with conflict resolution for volunteer app (A-05)</w:t>
      </w:r>
    </w:p>
    <w:p>
      <w:pPr>
        <w:pStyle w:val="ListBullet"/>
        <w:spacing w:after="60"/>
        <w:ind w:left="432"/>
      </w:pPr>
      <w:r>
        <w:rPr>
          <w:rFonts w:ascii="Arial" w:hAnsi="Arial"/>
          <w:b w:val="0"/>
          <w:i w:val="0"/>
          <w:sz w:val="21"/>
        </w:rPr>
        <w:t>Add data export (CSV/Excel) and basic reporting module (D-04)</w:t>
      </w:r>
    </w:p>
    <w:p>
      <w:pPr>
        <w:pStyle w:val="ListBullet"/>
        <w:spacing w:after="60"/>
        <w:ind w:left="432"/>
      </w:pPr>
      <w:r>
        <w:rPr>
          <w:rFonts w:ascii="Arial" w:hAnsi="Arial"/>
          <w:b w:val="0"/>
          <w:i w:val="0"/>
          <w:sz w:val="21"/>
        </w:rPr>
        <w:t>Implement patient deduplication detection (D-03)</w:t>
      </w:r>
    </w:p>
    <w:p>
      <w:pPr>
        <w:pStyle w:val="ListBullet"/>
        <w:spacing w:after="60"/>
        <w:ind w:left="432"/>
      </w:pPr>
      <w:r>
        <w:rPr>
          <w:rFonts w:ascii="Arial" w:hAnsi="Arial"/>
          <w:b w:val="0"/>
          <w:i w:val="0"/>
          <w:sz w:val="21"/>
        </w:rPr>
        <w:t>WCAG 2.1 AA accessibility audit and fixes (U-04)</w:t>
      </w:r>
    </w:p>
    <w:p>
      <w:pPr>
        <w:pStyle w:val="ListBullet"/>
        <w:spacing w:after="60"/>
        <w:ind w:left="432"/>
      </w:pPr>
      <w:r>
        <w:rPr>
          <w:rFonts w:ascii="Arial" w:hAnsi="Arial"/>
          <w:b w:val="0"/>
          <w:i w:val="0"/>
          <w:sz w:val="21"/>
        </w:rPr>
        <w:t>Volunteer performance dashboard — how many patients registered per volunteer, per region</w:t>
      </w:r>
    </w:p>
    <w:p>
      <w:pPr>
        <w:spacing w:before="200" w:after="120"/>
      </w:pPr>
      <w:r>
        <w:rPr>
          <w:rFonts w:ascii="Arial" w:hAnsi="Arial"/>
          <w:b/>
          <w:i w:val="0"/>
          <w:color w:val="1E5AA0"/>
          <w:sz w:val="28"/>
        </w:rPr>
        <w:t>8.3 Long-Term (2–6 Months)</w:t>
      </w:r>
    </w:p>
    <w:p>
      <w:pPr>
        <w:pStyle w:val="ListBullet"/>
        <w:spacing w:after="60"/>
        <w:ind w:left="432"/>
      </w:pPr>
      <w:r>
        <w:rPr>
          <w:rFonts w:ascii="Arial" w:hAnsi="Arial"/>
          <w:b w:val="0"/>
          <w:i w:val="0"/>
          <w:sz w:val="21"/>
        </w:rPr>
        <w:t>Patient health timeline view — track patient status changes over time</w:t>
      </w:r>
    </w:p>
    <w:p>
      <w:pPr>
        <w:pStyle w:val="ListBullet"/>
        <w:spacing w:after="60"/>
        <w:ind w:left="432"/>
      </w:pPr>
      <w:r>
        <w:rPr>
          <w:rFonts w:ascii="Arial" w:hAnsi="Arial"/>
          <w:b w:val="0"/>
          <w:i w:val="0"/>
          <w:sz w:val="21"/>
        </w:rPr>
        <w:t>Push notifications for volunteer mobile app — assignment alerts, follow-up reminders</w:t>
      </w:r>
    </w:p>
    <w:p>
      <w:pPr>
        <w:pStyle w:val="ListBullet"/>
        <w:spacing w:after="60"/>
        <w:ind w:left="432"/>
      </w:pPr>
      <w:r>
        <w:rPr>
          <w:rFonts w:ascii="Arial" w:hAnsi="Arial"/>
          <w:b w:val="0"/>
          <w:i w:val="0"/>
          <w:sz w:val="21"/>
        </w:rPr>
        <w:t>Advanced analytics — heat maps by region, patient demographics, trend analysis</w:t>
      </w:r>
    </w:p>
    <w:p>
      <w:pPr>
        <w:pStyle w:val="ListBullet"/>
        <w:spacing w:after="60"/>
        <w:ind w:left="432"/>
      </w:pPr>
      <w:r>
        <w:rPr>
          <w:rFonts w:ascii="Arial" w:hAnsi="Arial"/>
          <w:b w:val="0"/>
          <w:i w:val="0"/>
          <w:sz w:val="21"/>
        </w:rPr>
        <w:t>Role-based access control (RBAC) — Regional Admin, Supervisor, Volunteer roles with scoped access</w:t>
      </w:r>
    </w:p>
    <w:p>
      <w:pPr>
        <w:pStyle w:val="ListBullet"/>
        <w:spacing w:after="60"/>
        <w:ind w:left="432"/>
      </w:pPr>
      <w:r>
        <w:rPr>
          <w:rFonts w:ascii="Arial" w:hAnsi="Arial"/>
          <w:b w:val="0"/>
          <w:i w:val="0"/>
          <w:sz w:val="21"/>
        </w:rPr>
        <w:t>Multi-language support (i18n) for both admin panel and volunteer mobile app</w:t>
      </w:r>
    </w:p>
    <w:p>
      <w:pPr>
        <w:pStyle w:val="ListBullet"/>
        <w:spacing w:after="60"/>
        <w:ind w:left="432"/>
      </w:pPr>
      <w:r>
        <w:rPr>
          <w:rFonts w:ascii="Arial" w:hAnsi="Arial"/>
          <w:b w:val="0"/>
          <w:i w:val="0"/>
          <w:sz w:val="21"/>
        </w:rPr>
        <w:t>Integration with national health databases or HL7/FHIR standards if applicable</w:t>
      </w:r>
    </w:p>
    <w:p>
      <w:pPr>
        <w:pStyle w:val="ListBullet"/>
        <w:spacing w:after="60"/>
        <w:ind w:left="432"/>
      </w:pPr>
      <w:r>
        <w:rPr>
          <w:rFonts w:ascii="Arial" w:hAnsi="Arial"/>
          <w:b w:val="0"/>
          <w:i w:val="0"/>
          <w:sz w:val="21"/>
        </w:rPr>
        <w:t>Two-way messaging between admin and volunteers within the app</w:t>
      </w:r>
    </w:p>
    <w:p>
      <w:pPr>
        <w:pStyle w:val="ListBullet"/>
        <w:spacing w:after="60"/>
        <w:ind w:left="432"/>
      </w:pPr>
      <w:r>
        <w:rPr>
          <w:rFonts w:ascii="Arial" w:hAnsi="Arial"/>
          <w:b w:val="0"/>
          <w:i w:val="0"/>
          <w:sz w:val="21"/>
        </w:rPr>
        <w:t>Patient follow-up scheduling and reminder system</w:t>
      </w:r>
    </w:p>
    <w:p>
      <w:pPr>
        <w:pStyle w:val="ListBullet"/>
        <w:spacing w:after="60"/>
        <w:ind w:left="432"/>
      </w:pPr>
      <w:r>
        <w:rPr>
          <w:rFonts w:ascii="Arial" w:hAnsi="Arial"/>
          <w:b w:val="0"/>
          <w:i w:val="0"/>
          <w:sz w:val="21"/>
        </w:rPr>
        <w:t>Automated data quality scoring — flag incomplete or suspect patient records for review</w:t>
      </w:r>
    </w:p>
    <w:p>
      <w:pPr>
        <w:pStyle w:val="ListBullet"/>
        <w:spacing w:after="60"/>
        <w:ind w:left="432"/>
      </w:pPr>
      <w:r>
        <w:rPr>
          <w:rFonts w:ascii="Arial" w:hAnsi="Arial"/>
          <w:b w:val="0"/>
          <w:i w:val="0"/>
          <w:sz w:val="21"/>
        </w:rPr>
        <w:t>Compliance module — GDPR/HIPAA policy management, consent tracking, data retention automation</w:t>
      </w:r>
    </w:p>
    <w:p>
      <w:pPr>
        <w:spacing w:before="280" w:after="120"/>
      </w:pPr>
      <w:r>
        <w:rPr>
          <w:rFonts w:ascii="Arial" w:hAnsi="Arial"/>
          <w:b/>
          <w:i w:val="0"/>
          <w:color w:val="1E5AA0"/>
          <w:sz w:val="36"/>
        </w:rPr>
        <w:t>9. Prioritized Remediation Plan</w:t>
      </w:r>
    </w:p>
    <w:p>
      <w:pPr>
        <w:spacing w:after="80"/>
      </w:pPr>
      <w:r>
        <w:rPr>
          <w:rFonts w:ascii="Arial" w:hAnsi="Arial"/>
          <w:b w:val="0"/>
          <w:i w:val="0"/>
          <w:sz w:val="22"/>
        </w:rPr>
        <w:t>The following table shows the recommended order of remediation based on risk and effort:</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1E3C78"/>
          </w:tcPr>
          <w:p>
            <w:r>
              <w:rPr>
                <w:rFonts w:ascii="Arial" w:hAnsi="Arial"/>
                <w:b/>
                <w:i w:val="0"/>
                <w:color w:val="FFFFFF"/>
                <w:sz w:val="20"/>
              </w:rPr>
              <w:t>Priority</w:t>
            </w:r>
          </w:p>
        </w:tc>
        <w:tc>
          <w:tcPr>
            <w:tcW w:type="dxa" w:w="2340"/>
            <w:shd w:val="clear" w:color="auto" w:fill="1E3C78"/>
          </w:tcPr>
          <w:p>
            <w:r>
              <w:rPr>
                <w:rFonts w:ascii="Arial" w:hAnsi="Arial"/>
                <w:b/>
                <w:i w:val="0"/>
                <w:color w:val="FFFFFF"/>
                <w:sz w:val="20"/>
              </w:rPr>
              <w:t>Issue IDs</w:t>
            </w:r>
          </w:p>
        </w:tc>
        <w:tc>
          <w:tcPr>
            <w:tcW w:type="dxa" w:w="2340"/>
            <w:shd w:val="clear" w:color="auto" w:fill="1E3C78"/>
          </w:tcPr>
          <w:p>
            <w:r>
              <w:rPr>
                <w:rFonts w:ascii="Arial" w:hAnsi="Arial"/>
                <w:b/>
                <w:i w:val="0"/>
                <w:color w:val="FFFFFF"/>
                <w:sz w:val="20"/>
              </w:rPr>
              <w:t>Effort</w:t>
            </w:r>
          </w:p>
        </w:tc>
        <w:tc>
          <w:tcPr>
            <w:tcW w:type="dxa" w:w="2340"/>
            <w:shd w:val="clear" w:color="auto" w:fill="1E3C78"/>
          </w:tcPr>
          <w:p>
            <w:r>
              <w:rPr>
                <w:rFonts w:ascii="Arial" w:hAnsi="Arial"/>
                <w:b/>
                <w:i w:val="0"/>
                <w:color w:val="FFFFFF"/>
                <w:sz w:val="20"/>
              </w:rPr>
              <w:t>Risk if Not Fixed</w:t>
            </w:r>
          </w:p>
        </w:tc>
      </w:tr>
      <w:tr>
        <w:tc>
          <w:tcPr>
            <w:tcW w:type="dxa" w:w="2340"/>
          </w:tcPr>
          <w:p>
            <w:r>
              <w:rPr>
                <w:rFonts w:ascii="Arial" w:hAnsi="Arial"/>
                <w:b w:val="0"/>
                <w:i w:val="0"/>
                <w:sz w:val="19"/>
              </w:rPr>
              <w:t>1 — Immediate</w:t>
            </w:r>
          </w:p>
        </w:tc>
        <w:tc>
          <w:tcPr>
            <w:tcW w:type="dxa" w:w="2340"/>
          </w:tcPr>
          <w:p>
            <w:r>
              <w:rPr>
                <w:rFonts w:ascii="Arial" w:hAnsi="Arial"/>
                <w:b w:val="0"/>
                <w:i w:val="0"/>
                <w:sz w:val="19"/>
              </w:rPr>
              <w:t>S-01, S-02, S-03, S-04</w:t>
            </w:r>
          </w:p>
        </w:tc>
        <w:tc>
          <w:tcPr>
            <w:tcW w:type="dxa" w:w="2340"/>
          </w:tcPr>
          <w:p>
            <w:r>
              <w:rPr>
                <w:rFonts w:ascii="Arial" w:hAnsi="Arial"/>
                <w:b w:val="0"/>
                <w:i w:val="0"/>
                <w:sz w:val="19"/>
              </w:rPr>
              <w:t>Medium</w:t>
            </w:r>
          </w:p>
        </w:tc>
        <w:tc>
          <w:tcPr>
            <w:tcW w:type="dxa" w:w="2340"/>
          </w:tcPr>
          <w:p>
            <w:r>
              <w:rPr>
                <w:rFonts w:ascii="Arial" w:hAnsi="Arial"/>
                <w:b w:val="0"/>
                <w:i w:val="0"/>
                <w:sz w:val="19"/>
              </w:rPr>
              <w:t>Account takeover, unauthorized data access, regulatory breach</w:t>
            </w:r>
          </w:p>
        </w:tc>
      </w:tr>
      <w:tr>
        <w:tc>
          <w:tcPr>
            <w:tcW w:type="dxa" w:w="2340"/>
          </w:tcPr>
          <w:p>
            <w:r>
              <w:rPr>
                <w:rFonts w:ascii="Arial" w:hAnsi="Arial"/>
                <w:b w:val="0"/>
                <w:i w:val="0"/>
                <w:sz w:val="19"/>
              </w:rPr>
              <w:t>2 — This Sprint</w:t>
            </w:r>
          </w:p>
        </w:tc>
        <w:tc>
          <w:tcPr>
            <w:tcW w:type="dxa" w:w="2340"/>
          </w:tcPr>
          <w:p>
            <w:r>
              <w:rPr>
                <w:rFonts w:ascii="Arial" w:hAnsi="Arial"/>
                <w:b w:val="0"/>
                <w:i w:val="0"/>
                <w:sz w:val="19"/>
              </w:rPr>
              <w:t>S-05, S-06, S-07, S-08, A-02</w:t>
            </w:r>
          </w:p>
        </w:tc>
        <w:tc>
          <w:tcPr>
            <w:tcW w:type="dxa" w:w="2340"/>
          </w:tcPr>
          <w:p>
            <w:r>
              <w:rPr>
                <w:rFonts w:ascii="Arial" w:hAnsi="Arial"/>
                <w:b w:val="0"/>
                <w:i w:val="0"/>
                <w:sz w:val="19"/>
              </w:rPr>
              <w:t>Medium</w:t>
            </w:r>
          </w:p>
        </w:tc>
        <w:tc>
          <w:tcPr>
            <w:tcW w:type="dxa" w:w="2340"/>
          </w:tcPr>
          <w:p>
            <w:r>
              <w:rPr>
                <w:rFonts w:ascii="Arial" w:hAnsi="Arial"/>
                <w:b w:val="0"/>
                <w:i w:val="0"/>
                <w:sz w:val="19"/>
              </w:rPr>
              <w:t>Session hijacking, data breach, compliance violation</w:t>
            </w:r>
          </w:p>
        </w:tc>
      </w:tr>
      <w:tr>
        <w:tc>
          <w:tcPr>
            <w:tcW w:type="dxa" w:w="2340"/>
          </w:tcPr>
          <w:p>
            <w:r>
              <w:rPr>
                <w:rFonts w:ascii="Arial" w:hAnsi="Arial"/>
                <w:b w:val="0"/>
                <w:i w:val="0"/>
                <w:sz w:val="19"/>
              </w:rPr>
              <w:t>3 — Next Sprint</w:t>
            </w:r>
          </w:p>
        </w:tc>
        <w:tc>
          <w:tcPr>
            <w:tcW w:type="dxa" w:w="2340"/>
          </w:tcPr>
          <w:p>
            <w:r>
              <w:rPr>
                <w:rFonts w:ascii="Arial" w:hAnsi="Arial"/>
                <w:b w:val="0"/>
                <w:i w:val="0"/>
                <w:sz w:val="19"/>
              </w:rPr>
              <w:t>U-01, A-01, A-03, D-01, D-02</w:t>
            </w:r>
          </w:p>
        </w:tc>
        <w:tc>
          <w:tcPr>
            <w:tcW w:type="dxa" w:w="2340"/>
          </w:tcPr>
          <w:p>
            <w:r>
              <w:rPr>
                <w:rFonts w:ascii="Arial" w:hAnsi="Arial"/>
                <w:b w:val="0"/>
                <w:i w:val="0"/>
                <w:sz w:val="19"/>
              </w:rPr>
              <w:t>High</w:t>
            </w:r>
          </w:p>
        </w:tc>
        <w:tc>
          <w:tcPr>
            <w:tcW w:type="dxa" w:w="2340"/>
          </w:tcPr>
          <w:p>
            <w:r>
              <w:rPr>
                <w:rFonts w:ascii="Arial" w:hAnsi="Arial"/>
                <w:b w:val="0"/>
                <w:i w:val="0"/>
                <w:sz w:val="19"/>
              </w:rPr>
              <w:t>Admin lockout, API instability, data law violations</w:t>
            </w:r>
          </w:p>
        </w:tc>
      </w:tr>
      <w:tr>
        <w:tc>
          <w:tcPr>
            <w:tcW w:type="dxa" w:w="2340"/>
          </w:tcPr>
          <w:p>
            <w:r>
              <w:rPr>
                <w:rFonts w:ascii="Arial" w:hAnsi="Arial"/>
                <w:b w:val="0"/>
                <w:i w:val="0"/>
                <w:sz w:val="19"/>
              </w:rPr>
              <w:t>4 — Next Month</w:t>
            </w:r>
          </w:p>
        </w:tc>
        <w:tc>
          <w:tcPr>
            <w:tcW w:type="dxa" w:w="2340"/>
          </w:tcPr>
          <w:p>
            <w:r>
              <w:rPr>
                <w:rFonts w:ascii="Arial" w:hAnsi="Arial"/>
                <w:b w:val="0"/>
                <w:i w:val="0"/>
                <w:sz w:val="19"/>
              </w:rPr>
              <w:t>U-03, U-04, A-04, A-05, D-03, P-01, P-02</w:t>
            </w:r>
          </w:p>
        </w:tc>
        <w:tc>
          <w:tcPr>
            <w:tcW w:type="dxa" w:w="2340"/>
          </w:tcPr>
          <w:p>
            <w:r>
              <w:rPr>
                <w:rFonts w:ascii="Arial" w:hAnsi="Arial"/>
                <w:b w:val="0"/>
                <w:i w:val="0"/>
                <w:sz w:val="19"/>
              </w:rPr>
              <w:t>High</w:t>
            </w:r>
          </w:p>
        </w:tc>
        <w:tc>
          <w:tcPr>
            <w:tcW w:type="dxa" w:w="2340"/>
          </w:tcPr>
          <w:p>
            <w:r>
              <w:rPr>
                <w:rFonts w:ascii="Arial" w:hAnsi="Arial"/>
                <w:b w:val="0"/>
                <w:i w:val="0"/>
                <w:sz w:val="19"/>
              </w:rPr>
              <w:t>Poor usability, performance degradation at scale</w:t>
            </w:r>
          </w:p>
        </w:tc>
      </w:tr>
      <w:tr>
        <w:tc>
          <w:tcPr>
            <w:tcW w:type="dxa" w:w="2340"/>
          </w:tcPr>
          <w:p>
            <w:r>
              <w:rPr>
                <w:rFonts w:ascii="Arial" w:hAnsi="Arial"/>
                <w:b w:val="0"/>
                <w:i w:val="0"/>
                <w:sz w:val="19"/>
              </w:rPr>
              <w:t>5 — Backlog</w:t>
            </w:r>
          </w:p>
        </w:tc>
        <w:tc>
          <w:tcPr>
            <w:tcW w:type="dxa" w:w="2340"/>
          </w:tcPr>
          <w:p>
            <w:r>
              <w:rPr>
                <w:rFonts w:ascii="Arial" w:hAnsi="Arial"/>
                <w:b w:val="0"/>
                <w:i w:val="0"/>
                <w:sz w:val="19"/>
              </w:rPr>
              <w:t>U-05, U-06, U-07, A-06, A-07, P-03, P-04, D-04, D-05</w:t>
            </w:r>
          </w:p>
        </w:tc>
        <w:tc>
          <w:tcPr>
            <w:tcW w:type="dxa" w:w="2340"/>
          </w:tcPr>
          <w:p>
            <w:r>
              <w:rPr>
                <w:rFonts w:ascii="Arial" w:hAnsi="Arial"/>
                <w:b w:val="0"/>
                <w:i w:val="0"/>
                <w:sz w:val="19"/>
              </w:rPr>
              <w:t>Medium</w:t>
            </w:r>
          </w:p>
        </w:tc>
        <w:tc>
          <w:tcPr>
            <w:tcW w:type="dxa" w:w="2340"/>
          </w:tcPr>
          <w:p>
            <w:r>
              <w:rPr>
                <w:rFonts w:ascii="Arial" w:hAnsi="Arial"/>
                <w:b w:val="0"/>
                <w:i w:val="0"/>
                <w:sz w:val="19"/>
              </w:rPr>
              <w:t>Minor UX issues, missing conveniences</w:t>
            </w:r>
          </w:p>
        </w:tc>
      </w:tr>
    </w:tbl>
    <w:p/>
    <w:p>
      <w:pPr>
        <w:spacing w:before="280" w:after="120"/>
      </w:pPr>
      <w:r>
        <w:rPr>
          <w:rFonts w:ascii="Arial" w:hAnsi="Arial"/>
          <w:b/>
          <w:i w:val="0"/>
          <w:color w:val="1E5AA0"/>
          <w:sz w:val="36"/>
        </w:rPr>
        <w:t>10. Conclusion</w:t>
      </w:r>
    </w:p>
    <w:p>
      <w:pPr>
        <w:spacing w:after="80"/>
      </w:pPr>
      <w:r>
        <w:rPr>
          <w:rFonts w:ascii="Arial" w:hAnsi="Arial"/>
          <w:b w:val="0"/>
          <w:i w:val="0"/>
          <w:sz w:val="22"/>
        </w:rPr>
        <w:t>HealthApp has a solid foundation as a healthcare volunteer coordination platform, but it requires significant hardening before it can safely handle real patient data at scale. The four Critical issues — brute-force vulnerability, API authorization gaps, absence of MFA, and weak password enforcement — must be addressed before any production deployment or expansion of the volunteer user base.</w:t>
      </w:r>
    </w:p>
    <w:p>
      <w:pPr>
        <w:spacing w:after="80"/>
      </w:pPr>
      <w:r>
        <w:rPr>
          <w:rFonts w:ascii="Arial" w:hAnsi="Arial"/>
          <w:b w:val="0"/>
          <w:i w:val="0"/>
          <w:sz w:val="22"/>
        </w:rPr>
        <w:t>Once the security baseline is established, the focus should shift to building a more powerful admin experience: a real-time dashboard, robust reporting, and data quality tools. On the API side, versioning, documentation, and offline support will significantly improve the reliability of volunteer mobile app integrations.</w:t>
      </w:r>
    </w:p>
    <w:p>
      <w:pPr>
        <w:spacing w:after="80"/>
      </w:pPr>
      <w:r>
        <w:rPr>
          <w:rFonts w:ascii="Arial" w:hAnsi="Arial"/>
          <w:b w:val="0"/>
          <w:i w:val="0"/>
          <w:sz w:val="22"/>
        </w:rPr>
        <w:t>With these improvements, HealthApp can evolve from a basic CRUD application into a mission-critical healthcare coordination platform capable of supporting large volunteer networks and ensuring the integrity and security of patient data.</w:t>
      </w:r>
    </w:p>
    <w:p/>
    <w:p>
      <w:pPr>
        <w:spacing w:after="80"/>
      </w:pPr>
      <w:r>
        <w:rPr>
          <w:rFonts w:ascii="Arial" w:hAnsi="Arial"/>
          <w:b w:val="0"/>
          <w:i/>
          <w:color w:val="646464"/>
          <w:sz w:val="22"/>
        </w:rPr>
        <w:t>— End of Audit Report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