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2A057" w14:textId="1D1127C3" w:rsidR="006B1F31" w:rsidRDefault="008F1596" w:rsidP="008F1596">
      <w:pPr>
        <w:jc w:val="center"/>
        <w:rPr>
          <w:b/>
          <w:bCs/>
          <w:sz w:val="32"/>
          <w:szCs w:val="32"/>
          <w:lang w:val="en-US"/>
        </w:rPr>
      </w:pPr>
      <w:r w:rsidRPr="008F1596">
        <w:rPr>
          <w:b/>
          <w:bCs/>
          <w:sz w:val="32"/>
          <w:szCs w:val="32"/>
          <w:lang w:val="en-US"/>
        </w:rPr>
        <w:t>Domain Knowledge</w:t>
      </w:r>
    </w:p>
    <w:p w14:paraId="362F2DB8" w14:textId="407E1041" w:rsidR="00EE5CC4" w:rsidRPr="00EE5CC4" w:rsidRDefault="00EE5CC4" w:rsidP="00EE5CC4">
      <w:pPr>
        <w:rPr>
          <w:b/>
          <w:bCs/>
          <w:sz w:val="28"/>
          <w:szCs w:val="28"/>
          <w:lang w:val="en-US"/>
        </w:rPr>
      </w:pPr>
      <w:r w:rsidRPr="00EE5CC4">
        <w:rPr>
          <w:b/>
          <w:bCs/>
          <w:sz w:val="28"/>
          <w:szCs w:val="28"/>
          <w:highlight w:val="yellow"/>
          <w:lang w:val="en-US"/>
        </w:rPr>
        <w:t>Table 1: Orders</w:t>
      </w:r>
    </w:p>
    <w:tbl>
      <w:tblPr>
        <w:tblW w:w="948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7381"/>
      </w:tblGrid>
      <w:tr w:rsidR="008F1596" w:rsidRPr="008F1596" w14:paraId="1D97802F" w14:textId="77777777" w:rsidTr="00EE5CC4">
        <w:trPr>
          <w:trHeight w:val="37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EC635" w14:textId="77777777" w:rsidR="008F1596" w:rsidRPr="008F1596" w:rsidRDefault="008F1596" w:rsidP="008F159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B46938E" w14:textId="11CF6F81" w:rsidR="008F1596" w:rsidRPr="008F1596" w:rsidRDefault="008F1596" w:rsidP="008F159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Knowledge from Data</w:t>
            </w:r>
          </w:p>
        </w:tc>
      </w:tr>
      <w:tr w:rsidR="008F1596" w:rsidRPr="008F1596" w14:paraId="6FC4976C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581D5D7F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7998A37B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Tells us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many orders exist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identifies unique deliveries, and helps detect duplicates or missing records.</w:t>
            </w:r>
          </w:p>
        </w:tc>
      </w:tr>
      <w:tr w:rsidR="008F1596" w:rsidRPr="008F1596" w14:paraId="64BE0D8D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63F2003F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Actual Delivery Date</w:t>
            </w:r>
          </w:p>
        </w:tc>
        <w:tc>
          <w:tcPr>
            <w:tcW w:w="0" w:type="auto"/>
            <w:vAlign w:val="center"/>
            <w:hideMark/>
          </w:tcPr>
          <w:p w14:paraId="56004E06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Shows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the delivery actually happened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lets us know if shipments are late, on-time, or early.</w:t>
            </w:r>
          </w:p>
        </w:tc>
      </w:tr>
      <w:tr w:rsidR="008F1596" w:rsidRPr="008F1596" w14:paraId="3C872AC9" w14:textId="77777777" w:rsidTr="00EE5CC4">
        <w:trPr>
          <w:trHeight w:val="1103"/>
          <w:tblCellSpacing w:w="15" w:type="dxa"/>
        </w:trPr>
        <w:tc>
          <w:tcPr>
            <w:tcW w:w="0" w:type="auto"/>
            <w:vAlign w:val="center"/>
            <w:hideMark/>
          </w:tcPr>
          <w:p w14:paraId="6A1ABE1A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Delay Reason</w:t>
            </w:r>
          </w:p>
        </w:tc>
        <w:tc>
          <w:tcPr>
            <w:tcW w:w="0" w:type="auto"/>
            <w:vAlign w:val="center"/>
            <w:hideMark/>
          </w:tcPr>
          <w:p w14:paraId="1EFBCA28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Explains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an order was delayed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(e.g., driver issue, vehicle breakdown, hub bottleneck, weather); helps identify operational problems.</w:t>
            </w:r>
          </w:p>
        </w:tc>
      </w:tr>
      <w:tr w:rsidR="008F1596" w:rsidRPr="008F1596" w14:paraId="0CB76D49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28813B16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Driver ID / Driver Name</w:t>
            </w:r>
          </w:p>
        </w:tc>
        <w:tc>
          <w:tcPr>
            <w:tcW w:w="0" w:type="auto"/>
            <w:vAlign w:val="center"/>
            <w:hideMark/>
          </w:tcPr>
          <w:p w14:paraId="00C47B36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 delivered the order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; lets us </w:t>
            </w:r>
            <w:proofErr w:type="spellStart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driver performance, experience, and contribution to delays.</w:t>
            </w:r>
          </w:p>
        </w:tc>
      </w:tr>
      <w:tr w:rsidR="008F1596" w:rsidRPr="008F1596" w14:paraId="7CAD0794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73E83281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Name</w:t>
            </w:r>
          </w:p>
        </w:tc>
        <w:tc>
          <w:tcPr>
            <w:tcW w:w="0" w:type="auto"/>
            <w:vAlign w:val="center"/>
            <w:hideMark/>
          </w:tcPr>
          <w:p w14:paraId="2DE671EB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where the order was processed or dispatched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helps identify hub efficiency, bottlenecks, and workload distribution.</w:t>
            </w:r>
          </w:p>
        </w:tc>
      </w:tr>
      <w:tr w:rsidR="008F1596" w:rsidRPr="008F1596" w14:paraId="0FA4656C" w14:textId="77777777" w:rsidTr="00EE5CC4">
        <w:trPr>
          <w:trHeight w:val="755"/>
          <w:tblCellSpacing w:w="15" w:type="dxa"/>
        </w:trPr>
        <w:tc>
          <w:tcPr>
            <w:tcW w:w="0" w:type="auto"/>
            <w:vAlign w:val="center"/>
            <w:hideMark/>
          </w:tcPr>
          <w:p w14:paraId="1508B659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 Delayed</w:t>
            </w:r>
          </w:p>
        </w:tc>
        <w:tc>
          <w:tcPr>
            <w:tcW w:w="0" w:type="auto"/>
            <w:vAlign w:val="center"/>
            <w:hideMark/>
          </w:tcPr>
          <w:p w14:paraId="0A48384C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Simple indicator of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whether the delivery was late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gives insight into operational efficiency.</w:t>
            </w:r>
          </w:p>
        </w:tc>
      </w:tr>
      <w:tr w:rsidR="008F1596" w:rsidRPr="008F1596" w14:paraId="08DA2CE0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30D3A159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 On Time</w:t>
            </w:r>
          </w:p>
        </w:tc>
        <w:tc>
          <w:tcPr>
            <w:tcW w:w="0" w:type="auto"/>
            <w:vAlign w:val="center"/>
            <w:hideMark/>
          </w:tcPr>
          <w:p w14:paraId="41E1A740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Simple indicator of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whether the delivery met the promised time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insight into SLA adherence and customer experience.</w:t>
            </w:r>
          </w:p>
        </w:tc>
      </w:tr>
      <w:tr w:rsidR="008F1596" w:rsidRPr="008F1596" w14:paraId="061CED79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34F8530F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Date</w:t>
            </w:r>
          </w:p>
        </w:tc>
        <w:tc>
          <w:tcPr>
            <w:tcW w:w="0" w:type="auto"/>
            <w:vAlign w:val="center"/>
            <w:hideMark/>
          </w:tcPr>
          <w:p w14:paraId="35973D71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Shows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the order was placed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; helps </w:t>
            </w:r>
            <w:proofErr w:type="spellStart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demand trends, seasonal patterns, and order volumes over time.</w:t>
            </w:r>
          </w:p>
        </w:tc>
      </w:tr>
      <w:tr w:rsidR="008F1596" w:rsidRPr="008F1596" w14:paraId="5E0D9917" w14:textId="77777777" w:rsidTr="00EE5CC4">
        <w:trPr>
          <w:trHeight w:val="1103"/>
          <w:tblCellSpacing w:w="15" w:type="dxa"/>
        </w:trPr>
        <w:tc>
          <w:tcPr>
            <w:tcW w:w="0" w:type="auto"/>
            <w:vAlign w:val="center"/>
            <w:hideMark/>
          </w:tcPr>
          <w:p w14:paraId="1ECEF122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Status</w:t>
            </w:r>
          </w:p>
        </w:tc>
        <w:tc>
          <w:tcPr>
            <w:tcW w:w="0" w:type="auto"/>
            <w:vAlign w:val="center"/>
            <w:hideMark/>
          </w:tcPr>
          <w:p w14:paraId="04056558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Tells the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current outcome of the order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Delivered, Delayed, </w:t>
            </w:r>
            <w:proofErr w:type="gramStart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Cancelled</w:t>
            </w:r>
            <w:proofErr w:type="gramEnd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; provides knowledge about </w:t>
            </w:r>
            <w:proofErr w:type="spellStart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fulfillment</w:t>
            </w:r>
            <w:proofErr w:type="spellEnd"/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success and operational issues.</w:t>
            </w:r>
          </w:p>
        </w:tc>
      </w:tr>
      <w:tr w:rsidR="008F1596" w:rsidRPr="008F1596" w14:paraId="46DB9E66" w14:textId="77777777" w:rsidTr="00EE5CC4">
        <w:trPr>
          <w:trHeight w:val="1117"/>
          <w:tblCellSpacing w:w="15" w:type="dxa"/>
        </w:trPr>
        <w:tc>
          <w:tcPr>
            <w:tcW w:w="0" w:type="auto"/>
            <w:vAlign w:val="center"/>
            <w:hideMark/>
          </w:tcPr>
          <w:p w14:paraId="4AB6E311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Name / Vehicle Type</w:t>
            </w:r>
          </w:p>
        </w:tc>
        <w:tc>
          <w:tcPr>
            <w:tcW w:w="0" w:type="auto"/>
            <w:vAlign w:val="center"/>
            <w:hideMark/>
          </w:tcPr>
          <w:p w14:paraId="6531E99A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which vehicle was used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and its category; helps understand fleet usage, suitability of vehicle type for orders, and potential cause of delays.</w:t>
            </w:r>
          </w:p>
        </w:tc>
      </w:tr>
      <w:tr w:rsidR="008F1596" w:rsidRPr="008F1596" w14:paraId="2A03B0F5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725886A5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 Satisfaction Score</w:t>
            </w:r>
          </w:p>
        </w:tc>
        <w:tc>
          <w:tcPr>
            <w:tcW w:w="0" w:type="auto"/>
            <w:vAlign w:val="center"/>
            <w:hideMark/>
          </w:tcPr>
          <w:p w14:paraId="49324EBE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Captures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 feedback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reflects the perceived quality of delivery, speed, and overall service.</w:t>
            </w:r>
          </w:p>
        </w:tc>
      </w:tr>
      <w:tr w:rsidR="008F1596" w:rsidRPr="008F1596" w14:paraId="728505D0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6AA869FD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Delivery Time Hours</w:t>
            </w:r>
          </w:p>
        </w:tc>
        <w:tc>
          <w:tcPr>
            <w:tcW w:w="0" w:type="auto"/>
            <w:vAlign w:val="center"/>
            <w:hideMark/>
          </w:tcPr>
          <w:p w14:paraId="59F6F795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Shows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long it took to deliver the order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insight into delivery efficiency and route optimization.</w:t>
            </w:r>
          </w:p>
        </w:tc>
      </w:tr>
      <w:tr w:rsidR="008F1596" w:rsidRPr="008F1596" w14:paraId="02F70675" w14:textId="77777777" w:rsidTr="00EE5CC4">
        <w:trPr>
          <w:trHeight w:val="740"/>
          <w:tblCellSpacing w:w="15" w:type="dxa"/>
        </w:trPr>
        <w:tc>
          <w:tcPr>
            <w:tcW w:w="0" w:type="auto"/>
            <w:vAlign w:val="center"/>
            <w:hideMark/>
          </w:tcPr>
          <w:p w14:paraId="743CF1F9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Processing Time Hours</w:t>
            </w:r>
          </w:p>
        </w:tc>
        <w:tc>
          <w:tcPr>
            <w:tcW w:w="0" w:type="auto"/>
            <w:vAlign w:val="center"/>
            <w:hideMark/>
          </w:tcPr>
          <w:p w14:paraId="611BCF92" w14:textId="77777777" w:rsidR="008F1596" w:rsidRPr="008F1596" w:rsidRDefault="008F1596" w:rsidP="008F159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</w:t>
            </w:r>
            <w:r w:rsidRPr="008F15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long the hub took to process the order</w:t>
            </w:r>
            <w:r w:rsidRPr="008F159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shows hub efficiency and operational delays before dispatch.</w:t>
            </w:r>
          </w:p>
        </w:tc>
      </w:tr>
    </w:tbl>
    <w:p w14:paraId="1505092F" w14:textId="52B5D2B0" w:rsidR="008F1596" w:rsidRDefault="008F1596" w:rsidP="008F1596">
      <w:pPr>
        <w:rPr>
          <w:b/>
          <w:bCs/>
          <w:sz w:val="32"/>
          <w:szCs w:val="32"/>
          <w:lang w:val="en-US"/>
        </w:rPr>
      </w:pPr>
    </w:p>
    <w:p w14:paraId="291613A7" w14:textId="4C3F6D32" w:rsidR="00EE5CC4" w:rsidRPr="00EE5CC4" w:rsidRDefault="00EE5CC4" w:rsidP="00EE5CC4">
      <w:pPr>
        <w:rPr>
          <w:b/>
          <w:bCs/>
          <w:sz w:val="28"/>
          <w:szCs w:val="28"/>
          <w:u w:val="single"/>
          <w:lang w:val="en-US"/>
        </w:rPr>
      </w:pP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lastRenderedPageBreak/>
        <w:t xml:space="preserve">Table </w:t>
      </w: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>2</w:t>
      </w: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 xml:space="preserve">: </w:t>
      </w: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>Hubs</w:t>
      </w:r>
    </w:p>
    <w:tbl>
      <w:tblPr>
        <w:tblW w:w="955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8309"/>
      </w:tblGrid>
      <w:tr w:rsidR="00EE5CC4" w:rsidRPr="00EE5CC4" w14:paraId="1D0A3067" w14:textId="77777777" w:rsidTr="00EE5CC4">
        <w:trPr>
          <w:trHeight w:val="3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980B2" w14:textId="77777777" w:rsidR="00EE5CC4" w:rsidRPr="00EE5CC4" w:rsidRDefault="00EE5CC4" w:rsidP="00EE5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96B1B7B" w14:textId="3677779B" w:rsidR="00EE5CC4" w:rsidRPr="00EE5CC4" w:rsidRDefault="00EE5CC4" w:rsidP="00EE5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Knowledge from Data</w:t>
            </w:r>
          </w:p>
        </w:tc>
      </w:tr>
      <w:tr w:rsidR="00EE5CC4" w:rsidRPr="00EE5CC4" w14:paraId="2A70CE6E" w14:textId="77777777" w:rsidTr="00EE5CC4">
        <w:trPr>
          <w:trHeight w:val="1061"/>
          <w:tblCellSpacing w:w="15" w:type="dxa"/>
        </w:trPr>
        <w:tc>
          <w:tcPr>
            <w:tcW w:w="0" w:type="auto"/>
            <w:vAlign w:val="center"/>
            <w:hideMark/>
          </w:tcPr>
          <w:p w14:paraId="2AEF967E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ID</w:t>
            </w:r>
          </w:p>
        </w:tc>
        <w:tc>
          <w:tcPr>
            <w:tcW w:w="0" w:type="auto"/>
            <w:vAlign w:val="center"/>
            <w:hideMark/>
          </w:tcPr>
          <w:p w14:paraId="446D26A8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Unique identifier for each hub. Allows us 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 orders to specific hubs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track hub-specific performance, and </w:t>
            </w:r>
            <w:proofErr w:type="spell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which hubs are handling more or fewer orders.</w:t>
            </w:r>
          </w:p>
        </w:tc>
      </w:tr>
      <w:tr w:rsidR="00EE5CC4" w:rsidRPr="00EE5CC4" w14:paraId="1CD9AA85" w14:textId="77777777" w:rsidTr="00EE5CC4">
        <w:trPr>
          <w:trHeight w:val="696"/>
          <w:tblCellSpacing w:w="15" w:type="dxa"/>
        </w:trPr>
        <w:tc>
          <w:tcPr>
            <w:tcW w:w="0" w:type="auto"/>
            <w:vAlign w:val="center"/>
            <w:hideMark/>
          </w:tcPr>
          <w:p w14:paraId="44AC0BCE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Name</w:t>
            </w:r>
          </w:p>
        </w:tc>
        <w:tc>
          <w:tcPr>
            <w:tcW w:w="0" w:type="auto"/>
            <w:vAlign w:val="center"/>
            <w:hideMark/>
          </w:tcPr>
          <w:p w14:paraId="174DC05F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Human-readable name of the hub. Helps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identify locations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on dashboards, reports, or maps and compare performance between hubs.</w:t>
            </w:r>
          </w:p>
        </w:tc>
      </w:tr>
      <w:tr w:rsidR="00EE5CC4" w:rsidRPr="00EE5CC4" w14:paraId="70AF74BD" w14:textId="77777777" w:rsidTr="00EE5CC4">
        <w:trPr>
          <w:trHeight w:val="1061"/>
          <w:tblCellSpacing w:w="15" w:type="dxa"/>
        </w:trPr>
        <w:tc>
          <w:tcPr>
            <w:tcW w:w="0" w:type="auto"/>
            <w:vAlign w:val="center"/>
            <w:hideMark/>
          </w:tcPr>
          <w:p w14:paraId="656F7805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Capacity</w:t>
            </w:r>
          </w:p>
        </w:tc>
        <w:tc>
          <w:tcPr>
            <w:tcW w:w="0" w:type="auto"/>
            <w:vAlign w:val="center"/>
            <w:hideMark/>
          </w:tcPr>
          <w:p w14:paraId="005C5181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Maximum number of orders the hub can process in a given period. Provides insight into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hub utilization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potential bottlenecks, and whether a hub is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overloaded or underused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24609A8F" w14:textId="1D91DF05" w:rsidR="00EE5CC4" w:rsidRDefault="00EE5CC4" w:rsidP="008F1596">
      <w:pPr>
        <w:rPr>
          <w:b/>
          <w:bCs/>
          <w:sz w:val="32"/>
          <w:szCs w:val="32"/>
          <w:lang w:val="en-US"/>
        </w:rPr>
      </w:pPr>
    </w:p>
    <w:p w14:paraId="643C61B3" w14:textId="738C352E" w:rsidR="00EE5CC4" w:rsidRDefault="00EE5CC4" w:rsidP="00EE5CC4">
      <w:pPr>
        <w:rPr>
          <w:b/>
          <w:bCs/>
          <w:sz w:val="28"/>
          <w:szCs w:val="28"/>
          <w:u w:val="single"/>
          <w:lang w:val="en-US"/>
        </w:rPr>
      </w:pP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 xml:space="preserve">Table </w:t>
      </w:r>
      <w:r w:rsidR="00860CC4">
        <w:rPr>
          <w:b/>
          <w:bCs/>
          <w:sz w:val="28"/>
          <w:szCs w:val="28"/>
          <w:highlight w:val="yellow"/>
          <w:u w:val="single"/>
          <w:lang w:val="en-US"/>
        </w:rPr>
        <w:t>3</w:t>
      </w: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 xml:space="preserve">: </w:t>
      </w:r>
      <w:r w:rsidRPr="00EE5CC4">
        <w:rPr>
          <w:b/>
          <w:bCs/>
          <w:sz w:val="28"/>
          <w:szCs w:val="28"/>
          <w:highlight w:val="yellow"/>
          <w:u w:val="single"/>
          <w:lang w:val="en-US"/>
        </w:rPr>
        <w:t>Drivers</w:t>
      </w:r>
    </w:p>
    <w:tbl>
      <w:tblPr>
        <w:tblW w:w="94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7797"/>
      </w:tblGrid>
      <w:tr w:rsidR="00EE5CC4" w:rsidRPr="00EE5CC4" w14:paraId="52958839" w14:textId="77777777" w:rsidTr="00EE5CC4">
        <w:trPr>
          <w:trHeight w:val="4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E6123" w14:textId="77777777" w:rsidR="00EE5CC4" w:rsidRPr="00EE5CC4" w:rsidRDefault="00EE5CC4" w:rsidP="00EE5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2D14D77" w14:textId="203457FE" w:rsidR="00EE5CC4" w:rsidRPr="00EE5CC4" w:rsidRDefault="00EE5CC4" w:rsidP="00EE5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Knowledge from Data</w:t>
            </w:r>
          </w:p>
        </w:tc>
      </w:tr>
      <w:tr w:rsidR="00EE5CC4" w:rsidRPr="00EE5CC4" w14:paraId="438C6DC7" w14:textId="77777777" w:rsidTr="00EE5CC4">
        <w:trPr>
          <w:trHeight w:val="935"/>
          <w:tblCellSpacing w:w="15" w:type="dxa"/>
        </w:trPr>
        <w:tc>
          <w:tcPr>
            <w:tcW w:w="0" w:type="auto"/>
            <w:vAlign w:val="center"/>
            <w:hideMark/>
          </w:tcPr>
          <w:p w14:paraId="4D97E32D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F30179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Unique identifier for each driver. Helps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 orders to drivers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track individual performance, and prevent duplicate records.</w:t>
            </w:r>
          </w:p>
        </w:tc>
      </w:tr>
      <w:tr w:rsidR="00EE5CC4" w:rsidRPr="00EE5CC4" w14:paraId="28E61070" w14:textId="77777777" w:rsidTr="00EE5CC4">
        <w:trPr>
          <w:trHeight w:val="915"/>
          <w:tblCellSpacing w:w="15" w:type="dxa"/>
        </w:trPr>
        <w:tc>
          <w:tcPr>
            <w:tcW w:w="0" w:type="auto"/>
            <w:vAlign w:val="center"/>
            <w:hideMark/>
          </w:tcPr>
          <w:p w14:paraId="7D5C3791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DriverName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CB26E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Human-readable name of the driver. Used in dashboards/reports 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show individual driver performance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assign tasks, or rank drivers.</w:t>
            </w:r>
          </w:p>
        </w:tc>
      </w:tr>
      <w:tr w:rsidR="00EE5CC4" w:rsidRPr="00EE5CC4" w14:paraId="20A7EF9F" w14:textId="77777777" w:rsidTr="00EE5CC4">
        <w:trPr>
          <w:trHeight w:val="935"/>
          <w:tblCellSpacing w:w="15" w:type="dxa"/>
        </w:trPr>
        <w:tc>
          <w:tcPr>
            <w:tcW w:w="0" w:type="auto"/>
            <w:vAlign w:val="center"/>
            <w:hideMark/>
          </w:tcPr>
          <w:p w14:paraId="1D115070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Employment Type</w:t>
            </w:r>
          </w:p>
        </w:tc>
        <w:tc>
          <w:tcPr>
            <w:tcW w:w="0" w:type="auto"/>
            <w:vAlign w:val="center"/>
            <w:hideMark/>
          </w:tcPr>
          <w:p w14:paraId="3C47918F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if the driver is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full-time, part-time, or contract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Insight into workforce structure, staffing needs, and operational planning.</w:t>
            </w:r>
          </w:p>
        </w:tc>
      </w:tr>
      <w:tr w:rsidR="00EE5CC4" w:rsidRPr="00EE5CC4" w14:paraId="079F358F" w14:textId="77777777" w:rsidTr="00EE5CC4">
        <w:trPr>
          <w:trHeight w:val="1372"/>
          <w:tblCellSpacing w:w="15" w:type="dxa"/>
        </w:trPr>
        <w:tc>
          <w:tcPr>
            <w:tcW w:w="0" w:type="auto"/>
            <w:vAlign w:val="center"/>
            <w:hideMark/>
          </w:tcPr>
          <w:p w14:paraId="65A063FA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Experience Filter</w:t>
            </w:r>
          </w:p>
        </w:tc>
        <w:tc>
          <w:tcPr>
            <w:tcW w:w="0" w:type="auto"/>
            <w:vAlign w:val="center"/>
            <w:hideMark/>
          </w:tcPr>
          <w:p w14:paraId="55285705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gram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</w:t>
            </w:r>
            <w:proofErr w:type="gram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 derived field 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group drivers by experience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(e.g., 0–2 </w:t>
            </w:r>
            <w:proofErr w:type="spell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yrs</w:t>
            </w:r>
            <w:proofErr w:type="spell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2–5 </w:t>
            </w:r>
            <w:proofErr w:type="spell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yrs</w:t>
            </w:r>
            <w:proofErr w:type="spell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5+ </w:t>
            </w:r>
            <w:proofErr w:type="spell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yrs</w:t>
            </w:r>
            <w:proofErr w:type="spell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). Helps </w:t>
            </w:r>
            <w:proofErr w:type="spellStart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 vs experience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identify skill gaps, and training needs.</w:t>
            </w:r>
          </w:p>
        </w:tc>
      </w:tr>
      <w:tr w:rsidR="00EE5CC4" w:rsidRPr="00EE5CC4" w14:paraId="4B784551" w14:textId="77777777" w:rsidTr="00EE5CC4">
        <w:trPr>
          <w:trHeight w:val="935"/>
          <w:tblCellSpacing w:w="15" w:type="dxa"/>
        </w:trPr>
        <w:tc>
          <w:tcPr>
            <w:tcW w:w="0" w:type="auto"/>
            <w:vAlign w:val="center"/>
            <w:hideMark/>
          </w:tcPr>
          <w:p w14:paraId="01D66128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Hire Date</w:t>
            </w:r>
          </w:p>
        </w:tc>
        <w:tc>
          <w:tcPr>
            <w:tcW w:w="0" w:type="auto"/>
            <w:vAlign w:val="center"/>
            <w:hideMark/>
          </w:tcPr>
          <w:p w14:paraId="1859E379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Date the driver joined the company. Knowledge gained includes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tenure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workforce age, and allows calculation of experience over time.</w:t>
            </w:r>
          </w:p>
        </w:tc>
      </w:tr>
      <w:tr w:rsidR="00EE5CC4" w:rsidRPr="00EE5CC4" w14:paraId="03D9AAF1" w14:textId="77777777" w:rsidTr="00EE5CC4">
        <w:trPr>
          <w:trHeight w:val="915"/>
          <w:tblCellSpacing w:w="15" w:type="dxa"/>
        </w:trPr>
        <w:tc>
          <w:tcPr>
            <w:tcW w:w="0" w:type="auto"/>
            <w:vAlign w:val="center"/>
            <w:hideMark/>
          </w:tcPr>
          <w:p w14:paraId="60081349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Experience Years</w:t>
            </w:r>
          </w:p>
        </w:tc>
        <w:tc>
          <w:tcPr>
            <w:tcW w:w="0" w:type="auto"/>
            <w:vAlign w:val="center"/>
            <w:hideMark/>
          </w:tcPr>
          <w:p w14:paraId="30D8AFB6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Number of years the driver has been driving. Useful 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correlate experience with delivery efficiency, delays, and performance ratings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EE5CC4" w:rsidRPr="00EE5CC4" w14:paraId="18469CB1" w14:textId="77777777" w:rsidTr="00EE5CC4">
        <w:trPr>
          <w:trHeight w:val="1394"/>
          <w:tblCellSpacing w:w="15" w:type="dxa"/>
        </w:trPr>
        <w:tc>
          <w:tcPr>
            <w:tcW w:w="0" w:type="auto"/>
            <w:vAlign w:val="center"/>
            <w:hideMark/>
          </w:tcPr>
          <w:p w14:paraId="507FA083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 Rating</w:t>
            </w:r>
          </w:p>
        </w:tc>
        <w:tc>
          <w:tcPr>
            <w:tcW w:w="0" w:type="auto"/>
            <w:vAlign w:val="center"/>
            <w:hideMark/>
          </w:tcPr>
          <w:p w14:paraId="4B3DADF0" w14:textId="77777777" w:rsidR="00EE5CC4" w:rsidRPr="00EE5CC4" w:rsidRDefault="00EE5CC4" w:rsidP="00EE5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Metric or score representing driver quality (could be based on delays, customer feedback, or internal assessment). Insight into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high/low performers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helps in </w:t>
            </w:r>
            <w:r w:rsidRPr="00EE5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incentives, training, or allocation</w:t>
            </w:r>
            <w:r w:rsidRPr="00EE5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2AC0879E" w14:textId="2EDB08A0" w:rsidR="00860CC4" w:rsidRDefault="00860CC4" w:rsidP="00860CC4">
      <w:pPr>
        <w:rPr>
          <w:b/>
          <w:bCs/>
          <w:sz w:val="28"/>
          <w:szCs w:val="28"/>
          <w:u w:val="single"/>
          <w:lang w:val="en-US"/>
        </w:rPr>
      </w:pPr>
      <w:r w:rsidRPr="00860CC4">
        <w:rPr>
          <w:b/>
          <w:bCs/>
          <w:sz w:val="28"/>
          <w:szCs w:val="28"/>
          <w:highlight w:val="yellow"/>
          <w:u w:val="single"/>
          <w:lang w:val="en-US"/>
        </w:rPr>
        <w:lastRenderedPageBreak/>
        <w:t xml:space="preserve">Table </w:t>
      </w:r>
      <w:r w:rsidRPr="00860CC4">
        <w:rPr>
          <w:b/>
          <w:bCs/>
          <w:sz w:val="28"/>
          <w:szCs w:val="28"/>
          <w:highlight w:val="yellow"/>
          <w:u w:val="single"/>
          <w:lang w:val="en-US"/>
        </w:rPr>
        <w:t>4</w:t>
      </w:r>
      <w:r w:rsidRPr="00860CC4">
        <w:rPr>
          <w:b/>
          <w:bCs/>
          <w:sz w:val="28"/>
          <w:szCs w:val="28"/>
          <w:highlight w:val="yellow"/>
          <w:u w:val="single"/>
          <w:lang w:val="en-US"/>
        </w:rPr>
        <w:t xml:space="preserve">: </w:t>
      </w:r>
      <w:r w:rsidRPr="00860CC4">
        <w:rPr>
          <w:b/>
          <w:bCs/>
          <w:sz w:val="28"/>
          <w:szCs w:val="28"/>
          <w:highlight w:val="yellow"/>
          <w:u w:val="single"/>
          <w:lang w:val="en-US"/>
        </w:rPr>
        <w:t>Vehicles</w:t>
      </w:r>
    </w:p>
    <w:tbl>
      <w:tblPr>
        <w:tblW w:w="943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7380"/>
      </w:tblGrid>
      <w:tr w:rsidR="00860CC4" w:rsidRPr="00860CC4" w14:paraId="717FA22F" w14:textId="77777777" w:rsidTr="00860CC4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8015F" w14:textId="77777777" w:rsidR="00860CC4" w:rsidRPr="00860CC4" w:rsidRDefault="00860CC4" w:rsidP="00860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3D946D7" w14:textId="77777777" w:rsidR="00860CC4" w:rsidRPr="00860CC4" w:rsidRDefault="00860CC4" w:rsidP="00860C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 / Knowledge from Data</w:t>
            </w:r>
          </w:p>
        </w:tc>
      </w:tr>
      <w:tr w:rsidR="00860CC4" w:rsidRPr="00860CC4" w14:paraId="2FAF8B06" w14:textId="77777777" w:rsidTr="00860CC4">
        <w:trPr>
          <w:trHeight w:val="968"/>
          <w:tblCellSpacing w:w="15" w:type="dxa"/>
        </w:trPr>
        <w:tc>
          <w:tcPr>
            <w:tcW w:w="0" w:type="auto"/>
            <w:vAlign w:val="center"/>
            <w:hideMark/>
          </w:tcPr>
          <w:p w14:paraId="487DE906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Purchase Date</w:t>
            </w:r>
          </w:p>
        </w:tc>
        <w:tc>
          <w:tcPr>
            <w:tcW w:w="0" w:type="auto"/>
            <w:vAlign w:val="center"/>
            <w:hideMark/>
          </w:tcPr>
          <w:p w14:paraId="21616013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Date the vehicle was acquired. Provides insight into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age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depreciation, and planning for replacement or upgrade.</w:t>
            </w:r>
          </w:p>
        </w:tc>
      </w:tr>
      <w:tr w:rsidR="00860CC4" w:rsidRPr="00860CC4" w14:paraId="76254493" w14:textId="77777777" w:rsidTr="00860CC4">
        <w:trPr>
          <w:trHeight w:val="947"/>
          <w:tblCellSpacing w:w="15" w:type="dxa"/>
        </w:trPr>
        <w:tc>
          <w:tcPr>
            <w:tcW w:w="0" w:type="auto"/>
            <w:vAlign w:val="center"/>
            <w:hideMark/>
          </w:tcPr>
          <w:p w14:paraId="7C754203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ID / Vehicle Code</w:t>
            </w:r>
          </w:p>
        </w:tc>
        <w:tc>
          <w:tcPr>
            <w:tcW w:w="0" w:type="auto"/>
            <w:vAlign w:val="center"/>
            <w:hideMark/>
          </w:tcPr>
          <w:p w14:paraId="39726F51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Unique identifier for each vehicle. Used to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 orders to vehicles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track usage, and prevent duplicates.</w:t>
            </w:r>
          </w:p>
        </w:tc>
      </w:tr>
      <w:tr w:rsidR="00860CC4" w:rsidRPr="00860CC4" w14:paraId="212DCD0A" w14:textId="77777777" w:rsidTr="00860CC4">
        <w:trPr>
          <w:trHeight w:val="968"/>
          <w:tblCellSpacing w:w="15" w:type="dxa"/>
        </w:trPr>
        <w:tc>
          <w:tcPr>
            <w:tcW w:w="0" w:type="auto"/>
            <w:vAlign w:val="center"/>
            <w:hideMark/>
          </w:tcPr>
          <w:p w14:paraId="0EC4A68E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Model</w:t>
            </w:r>
          </w:p>
        </w:tc>
        <w:tc>
          <w:tcPr>
            <w:tcW w:w="0" w:type="auto"/>
            <w:vAlign w:val="center"/>
            <w:hideMark/>
          </w:tcPr>
          <w:p w14:paraId="29363F79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Model or make of the vehicle. Helps </w:t>
            </w:r>
            <w:proofErr w:type="spellStart"/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analyze</w:t>
            </w:r>
            <w:proofErr w:type="spellEnd"/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performance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reliability by model, and suitability for certain deliveries.</w:t>
            </w:r>
          </w:p>
        </w:tc>
      </w:tr>
      <w:tr w:rsidR="00860CC4" w:rsidRPr="00860CC4" w14:paraId="769FB587" w14:textId="77777777" w:rsidTr="00860CC4">
        <w:trPr>
          <w:trHeight w:val="947"/>
          <w:tblCellSpacing w:w="15" w:type="dxa"/>
        </w:trPr>
        <w:tc>
          <w:tcPr>
            <w:tcW w:w="0" w:type="auto"/>
            <w:vAlign w:val="center"/>
            <w:hideMark/>
          </w:tcPr>
          <w:p w14:paraId="751FC86E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Status</w:t>
            </w:r>
          </w:p>
        </w:tc>
        <w:tc>
          <w:tcPr>
            <w:tcW w:w="0" w:type="auto"/>
            <w:vAlign w:val="center"/>
            <w:hideMark/>
          </w:tcPr>
          <w:p w14:paraId="5F590EF5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Indicates whether the vehicle is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Active, Inactive, or Under Maintenance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Insight into fleet availability and operational readiness.</w:t>
            </w:r>
          </w:p>
        </w:tc>
      </w:tr>
      <w:tr w:rsidR="00860CC4" w:rsidRPr="00860CC4" w14:paraId="0C1F654E" w14:textId="77777777" w:rsidTr="00860CC4">
        <w:trPr>
          <w:trHeight w:val="1442"/>
          <w:tblCellSpacing w:w="15" w:type="dxa"/>
        </w:trPr>
        <w:tc>
          <w:tcPr>
            <w:tcW w:w="0" w:type="auto"/>
            <w:vAlign w:val="center"/>
            <w:hideMark/>
          </w:tcPr>
          <w:p w14:paraId="6803E4CA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Breakdown</w:t>
            </w:r>
          </w:p>
        </w:tc>
        <w:tc>
          <w:tcPr>
            <w:tcW w:w="0" w:type="auto"/>
            <w:vAlign w:val="center"/>
            <w:hideMark/>
          </w:tcPr>
          <w:p w14:paraId="786D172F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Number of breakdowns recorded for the vehicle. Provides insight into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vehicle reliability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causes of delivery delays, and need for replacement or repair.</w:t>
            </w:r>
          </w:p>
        </w:tc>
      </w:tr>
      <w:tr w:rsidR="00860CC4" w:rsidRPr="00860CC4" w14:paraId="6CE37421" w14:textId="77777777" w:rsidTr="00860CC4">
        <w:trPr>
          <w:trHeight w:val="1420"/>
          <w:tblCellSpacing w:w="15" w:type="dxa"/>
        </w:trPr>
        <w:tc>
          <w:tcPr>
            <w:tcW w:w="0" w:type="auto"/>
            <w:vAlign w:val="center"/>
            <w:hideMark/>
          </w:tcPr>
          <w:p w14:paraId="2B7E254C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Maintenance Count / Alert</w:t>
            </w:r>
          </w:p>
        </w:tc>
        <w:tc>
          <w:tcPr>
            <w:tcW w:w="0" w:type="auto"/>
            <w:vAlign w:val="center"/>
            <w:hideMark/>
          </w:tcPr>
          <w:p w14:paraId="2169A4C9" w14:textId="77777777" w:rsidR="00860CC4" w:rsidRPr="00860CC4" w:rsidRDefault="00860CC4" w:rsidP="00860C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Tracks </w:t>
            </w:r>
            <w:r w:rsidRPr="00860C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many maintenance events have occurred</w:t>
            </w:r>
            <w:r w:rsidRPr="00860C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or when maintenance is due. Insight into fleet health, planning, and reducing unexpected delays.</w:t>
            </w:r>
          </w:p>
        </w:tc>
      </w:tr>
    </w:tbl>
    <w:p w14:paraId="23E69DC5" w14:textId="77777777" w:rsidR="00860CC4" w:rsidRDefault="00860CC4" w:rsidP="00860CC4">
      <w:pPr>
        <w:rPr>
          <w:b/>
          <w:bCs/>
          <w:sz w:val="28"/>
          <w:szCs w:val="28"/>
          <w:u w:val="single"/>
          <w:lang w:val="en-US"/>
        </w:rPr>
      </w:pPr>
    </w:p>
    <w:p w14:paraId="1F3BF9CD" w14:textId="77777777" w:rsidR="00EE5CC4" w:rsidRPr="00EE5CC4" w:rsidRDefault="00EE5CC4" w:rsidP="00EE5CC4">
      <w:pPr>
        <w:rPr>
          <w:b/>
          <w:bCs/>
          <w:sz w:val="28"/>
          <w:szCs w:val="28"/>
          <w:u w:val="single"/>
          <w:lang w:val="en-US"/>
        </w:rPr>
      </w:pPr>
    </w:p>
    <w:p w14:paraId="00257865" w14:textId="77777777" w:rsidR="00EE5CC4" w:rsidRPr="008F1596" w:rsidRDefault="00EE5CC4" w:rsidP="008F1596">
      <w:pPr>
        <w:rPr>
          <w:b/>
          <w:bCs/>
          <w:sz w:val="32"/>
          <w:szCs w:val="32"/>
          <w:lang w:val="en-US"/>
        </w:rPr>
      </w:pPr>
    </w:p>
    <w:sectPr w:rsidR="00EE5CC4" w:rsidRPr="008F1596" w:rsidSect="0028146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78C1E" w14:textId="77777777" w:rsidR="00BE04A9" w:rsidRDefault="00BE04A9" w:rsidP="00281469">
      <w:pPr>
        <w:spacing w:after="0" w:line="240" w:lineRule="auto"/>
      </w:pPr>
      <w:r>
        <w:separator/>
      </w:r>
    </w:p>
  </w:endnote>
  <w:endnote w:type="continuationSeparator" w:id="0">
    <w:p w14:paraId="1F82ED44" w14:textId="77777777" w:rsidR="00BE04A9" w:rsidRDefault="00BE04A9" w:rsidP="00281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C2AA5" w14:textId="77777777" w:rsidR="00281469" w:rsidRDefault="002814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689C" w14:textId="77777777" w:rsidR="00281469" w:rsidRDefault="002814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1A922" w14:textId="77777777" w:rsidR="00281469" w:rsidRDefault="002814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E5B4B" w14:textId="77777777" w:rsidR="00BE04A9" w:rsidRDefault="00BE04A9" w:rsidP="00281469">
      <w:pPr>
        <w:spacing w:after="0" w:line="240" w:lineRule="auto"/>
      </w:pPr>
      <w:r>
        <w:separator/>
      </w:r>
    </w:p>
  </w:footnote>
  <w:footnote w:type="continuationSeparator" w:id="0">
    <w:p w14:paraId="6764EBB8" w14:textId="77777777" w:rsidR="00BE04A9" w:rsidRDefault="00BE04A9" w:rsidP="00281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6"/>
    <w:rsid w:val="00281469"/>
    <w:rsid w:val="006B1F31"/>
    <w:rsid w:val="00860CC4"/>
    <w:rsid w:val="008F1596"/>
    <w:rsid w:val="00BE04A9"/>
    <w:rsid w:val="00EE5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B6DC0FE"/>
  <w15:chartTrackingRefBased/>
  <w15:docId w15:val="{C02BA0E1-6D32-48EC-9E5B-7FDCB4FA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F159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81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469"/>
  </w:style>
  <w:style w:type="paragraph" w:styleId="Footer">
    <w:name w:val="footer"/>
    <w:basedOn w:val="Normal"/>
    <w:link w:val="FooterChar"/>
    <w:uiPriority w:val="99"/>
    <w:unhideWhenUsed/>
    <w:rsid w:val="00281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6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669</Words>
  <Characters>3814</Characters>
  <Application>Microsoft Office Word</Application>
  <DocSecurity>0</DocSecurity>
  <Lines>31</Lines>
  <Paragraphs>8</Paragraphs>
  <ScaleCrop>false</ScaleCrop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Swapnjeet S</dc:creator>
  <cp:keywords/>
  <dc:description/>
  <cp:lastModifiedBy>Swapnjeet S</cp:lastModifiedBy>
  <cp:revision>5</cp:revision>
  <dcterms:created xsi:type="dcterms:W3CDTF">2026-01-31T09:19:00Z</dcterms:created>
  <dcterms:modified xsi:type="dcterms:W3CDTF">2026-01-31T09:24:00Z</dcterms:modified>
</cp:coreProperties>
</file>