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 w:before="0"/>
        <w:jc w:val="center"/>
      </w:pPr>
      <w:r>
        <w:rPr>
          <w:rFonts w:ascii="Arial" w:cs="Arial" w:eastAsia="Arial" w:hAnsi="Arial"/>
          <w:b/>
          <w:bCs/>
          <w:color w:val="1F4E79"/>
          <w:sz w:val="52"/>
          <w:szCs w:val="52"/>
        </w:rPr>
        <w:t xml:space="preserve">Tournament Logistics Command Center</w:t>
      </w:r>
    </w:p>
    <w:p>
      <w:pPr>
        <w:spacing w:after="400" w:before="0"/>
        <w:jc w:val="center"/>
      </w:pPr>
      <w:r>
        <w:rPr>
          <w:rFonts w:ascii="Arial" w:cs="Arial" w:eastAsia="Arial" w:hAnsi="Arial"/>
          <w:i/>
          <w:iCs/>
          <w:color w:val="7F8C8D"/>
          <w:sz w:val="24"/>
          <w:szCs w:val="24"/>
        </w:rPr>
        <w:t xml:space="preserve">Project Passport  ·  Data Engineering Portfolio</w:t>
      </w:r>
    </w:p>
    <w:p>
      <w:pPr>
        <w:pBdr>
          <w:bottom w:val="single" w:color="BDC3C7" w:sz="6" w:space="1"/>
        </w:pBdr>
        <w:spacing w:after="200" w:before="200"/>
      </w:pPr>
    </w:p>
    <w:p>
      <w:pPr>
        <w:pStyle w:val="Heading1"/>
        <w:pBdr>
          <w:bottom w:val="single" w:color="1F4E79" w:sz="8" w:space="4"/>
        </w:pBdr>
        <w:spacing w:after="12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1. Executive Summary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Project Title</w:t>
            </w:r>
          </w:p>
        </w:tc>
        <w:tc>
          <w:tcPr>
            <w:tcW w:type="dxa" w:w="7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Tournament Logistics Command Center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Domain</w:t>
            </w:r>
          </w:p>
        </w:tc>
        <w:tc>
          <w:tcPr>
            <w:tcW w:type="dxa" w:w="7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Sports Operations &amp; Revenue Intelligence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Stack</w:t>
            </w:r>
          </w:p>
        </w:tc>
        <w:tc>
          <w:tcPr>
            <w:tcW w:type="dxa" w:w="7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Python · Pandas · Hugging Face Inference API · Power BI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Pipeline Type</w:t>
            </w:r>
          </w:p>
        </w:tc>
        <w:tc>
          <w:tcPr>
            <w:tcW w:type="dxa" w:w="7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Batch · Local ETL · AI-Enriched BI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Status</w:t>
            </w:r>
          </w:p>
        </w:tc>
        <w:tc>
          <w:tcPr>
            <w:tcW w:type="dxa" w:w="7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Production-Ready (Portfolio)</w:t>
            </w:r>
          </w:p>
        </w:tc>
      </w:tr>
    </w:tbl>
    <w:p>
      <w:pPr>
        <w:spacing w:after="80" w:before="200"/>
      </w:pP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  <w:t xml:space="preserve">Objective: Transform fragmented, manually maintained tournament match records into a structured, AI-enriched operational dashboard — enabling logistics teams to detect underperforming venues not just by headcount, but by classified operational sentiment.</w:t>
      </w:r>
    </w:p>
    <w:p>
      <w:pPr>
        <w:spacing w:after="80" w:before="80"/>
      </w:pPr>
    </w:p>
    <w:p>
      <w:pPr>
        <w:spacing w:after="80" w:before="8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Core Problem Solved: Raw attendance figures and revenue columns reveal what happened at a match. They do not capture why a high-capacity venue underperformed, or whether a logistical issue is systemic. This pipeline adds a third signal — AI-classified sentiment derived from structured match summaries — that bridges the gap between quantitative KPIs and qualitative operational intelligence.</w:t>
      </w:r>
    </w:p>
    <w:p>
      <w:pPr>
        <w:spacing w:after="80" w:before="80"/>
      </w:pPr>
    </w:p>
    <w:p>
      <w:pPr>
        <w:spacing w:after="80" w:before="8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Business Impact: Sentiment classification converts unstructured operational notes into a filterable Power BI dimension (AI_Sentiment), enabling a logistics analyst to surface Negative-sentiment matches in under three seconds, cross-referenced against revenue_efficiency and OccupancyRate.</w:t>
      </w:r>
    </w:p>
    <w:p>
      <w:pPr>
        <w:spacing w:after="0" w:before="200"/>
      </w:pPr>
    </w:p>
    <w:p>
      <w:pPr>
        <w:spacing w:after="40" w:before="80"/>
        <w:jc w:val="center"/>
      </w:pPr>
      <w:r>
        <w:rPr>
          <w:rFonts w:ascii="Arial" w:cs="Arial" w:eastAsia="Arial" w:hAnsi="Arial"/>
          <w:i/>
          <w:iCs/>
          <w:color w:val="95A5A6"/>
          <w:sz w:val="20"/>
          <w:szCs w:val="20"/>
        </w:rPr>
        <w:t xml:space="preserve">[ Insert Power BI Command Center screenshot here ]</w:t>
      </w:r>
    </w:p>
    <w:p>
      <w:r>
        <w:br w:type="page"/>
      </w:r>
    </w:p>
    <w:p>
      <w:pPr>
        <w:pStyle w:val="Heading1"/>
        <w:pBdr>
          <w:bottom w:val="single" w:color="1F4E79" w:sz="8" w:space="4"/>
        </w:pBdr>
        <w:spacing w:after="12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2. Technical Architecture</w:t>
      </w:r>
    </w:p>
    <w:p>
      <w:pPr>
        <w:spacing w:after="240" w:before="120"/>
        <w:jc w:val="center"/>
      </w:pPr>
      <w:r>
        <w:drawing>
          <wp:inline distT="0" distB="0" distL="0" distR="0">
            <wp:extent cx="5905500" cy="5381625"/>
            <wp:effectExtent t="0" r="0" b="0" l="0"/>
            <wp:docPr id="1" name="PipelineArch" descr="Five-stage data pipeline diagram" title="Pipeline Archite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538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085041"/>
          <w:sz w:val="26"/>
          <w:szCs w:val="26"/>
        </w:rPr>
        <w:t xml:space="preserve">Stage Descriptions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Stage 1 — Extraction</w:t>
      </w:r>
    </w:p>
    <w:p>
      <w:pPr>
        <w:spacing w:after="80" w:before="8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The pipeline ingests final_pro_analysis.csv — a flat file containing 45 tournament match records with raw attendance, venue capacity, and base revenue figures. No external API calls or database connections are required at this stage.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Stage 2 — Transformation (generate_summaries.py)</w:t>
      </w:r>
    </w:p>
    <w:p>
      <w:pPr>
        <w:spacing w:after="80" w:before="8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A Python/Pandas script performs feature engineering: computing derived fields (OccupancyRate, revenue_efficiency) and constructing a templated match_summary string per row. This summary serves as the NLP input in Stage 3.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Stage 3 — AI Enrichment (enrich_data.py)</w:t>
      </w:r>
    </w:p>
    <w:p>
      <w:pPr>
        <w:spacing w:after="80" w:before="8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Each match_summary is submitted to the Hugging Face Inference API using distilbert-base-uncased. The returned label (Positive / Negative) is appended as the AI_Sentiment column. API calls are batched with error handling to prevent partial enrichment on transient failures.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Stage 4 — Output</w:t>
      </w:r>
    </w:p>
    <w:p>
      <w:pPr>
        <w:spacing w:after="80" w:before="8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The enriched dataset is written to final_pro_analysis_AI_Enriched.csv — the single source of truth for the Power BI layer.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Stage 5 — Visualization</w:t>
      </w:r>
    </w:p>
    <w:p>
      <w:pPr>
        <w:spacing w:after="80" w:before="8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The Power BI .pbix file connects directly to the enriched CSV. Analysts can filter by AI_Sentiment, drill into venue-level revenue_efficiency, and identify matches where high occupancy did not translate to expected revenue.</w:t>
      </w:r>
    </w:p>
    <w:p>
      <w:r>
        <w:br w:type="page"/>
      </w:r>
    </w:p>
    <w:p>
      <w:pPr>
        <w:pStyle w:val="Heading1"/>
        <w:pBdr>
          <w:bottom w:val="single" w:color="1F4E79" w:sz="8" w:space="4"/>
        </w:pBdr>
        <w:spacing w:after="12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3. Data Dictionary &amp; Quantitative Metrics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085041"/>
          <w:sz w:val="26"/>
          <w:szCs w:val="26"/>
        </w:rPr>
        <w:t xml:space="preserve">Field Reference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400"/>
        <w:gridCol w:w="1400"/>
        <w:gridCol w:w="4000"/>
      </w:tblGrid>
      <w:tr>
        <w:trPr>
          <w:tblHeader/>
        </w:trPr>
        <w:tc>
          <w:tcPr>
            <w:tcW w:type="dxa" w:w="1600"/>
            <w:tcBorders>
              <w:top w:val="single" w:color="85B7EB" w:sz="1"/>
              <w:left w:val="single" w:color="85B7EB" w:sz="1"/>
              <w:bottom w:val="single" w:color="85B7EB" w:sz="1"/>
              <w:right w:val="single" w:color="85B7EB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2400"/>
            <w:tcBorders>
              <w:top w:val="single" w:color="85B7EB" w:sz="1"/>
              <w:left w:val="single" w:color="85B7EB" w:sz="1"/>
              <w:bottom w:val="single" w:color="85B7EB" w:sz="1"/>
              <w:right w:val="single" w:color="85B7EB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400"/>
            <w:tcBorders>
              <w:top w:val="single" w:color="85B7EB" w:sz="1"/>
              <w:left w:val="single" w:color="85B7EB" w:sz="1"/>
              <w:bottom w:val="single" w:color="85B7EB" w:sz="1"/>
              <w:right w:val="single" w:color="85B7EB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 Type</w:t>
            </w:r>
          </w:p>
        </w:tc>
        <w:tc>
          <w:tcPr>
            <w:tcW w:type="dxa" w:w="4000"/>
            <w:tcBorders>
              <w:top w:val="single" w:color="85B7EB" w:sz="1"/>
              <w:left w:val="single" w:color="85B7EB" w:sz="1"/>
              <w:bottom w:val="single" w:color="85B7EB" w:sz="1"/>
              <w:right w:val="single" w:color="85B7EB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16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Identifier</w:t>
            </w:r>
          </w:p>
        </w:tc>
        <w:tc>
          <w:tcPr>
            <w:tcW w:type="dxa" w:w="24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9"/>
                <w:szCs w:val="19"/>
              </w:rPr>
              <w:t xml:space="preserve">match_id</w:t>
            </w:r>
          </w:p>
        </w:tc>
        <w:tc>
          <w:tcPr>
            <w:tcW w:type="dxa" w:w="14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String</w:t>
            </w:r>
          </w:p>
        </w:tc>
        <w:tc>
          <w:tcPr>
            <w:tcW w:type="dxa" w:w="40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Unique match identifier; primary key for all joins and audit trails.</w:t>
            </w:r>
          </w:p>
        </w:tc>
      </w:tr>
      <w:tr>
        <w:tc>
          <w:tcPr>
            <w:tcW w:type="dxa" w:w="16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EBF5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AI Insights</w:t>
            </w:r>
          </w:p>
        </w:tc>
        <w:tc>
          <w:tcPr>
            <w:tcW w:type="dxa" w:w="24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EBF5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9"/>
                <w:szCs w:val="19"/>
              </w:rPr>
              <w:t xml:space="preserve">match_summary</w:t>
            </w:r>
          </w:p>
        </w:tc>
        <w:tc>
          <w:tcPr>
            <w:tcW w:type="dxa" w:w="14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EBF5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String</w:t>
            </w:r>
          </w:p>
        </w:tc>
        <w:tc>
          <w:tcPr>
            <w:tcW w:type="dxa" w:w="40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EBF5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Structured prose generated by generate_summaries.py; serves as NLP model input.</w:t>
            </w:r>
          </w:p>
        </w:tc>
      </w:tr>
      <w:tr>
        <w:tc>
          <w:tcPr>
            <w:tcW w:type="dxa" w:w="16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AI Insights</w:t>
            </w:r>
          </w:p>
        </w:tc>
        <w:tc>
          <w:tcPr>
            <w:tcW w:type="dxa" w:w="24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9"/>
                <w:szCs w:val="19"/>
              </w:rPr>
              <w:t xml:space="preserve">AI_Sentiment</w:t>
            </w:r>
          </w:p>
        </w:tc>
        <w:tc>
          <w:tcPr>
            <w:tcW w:type="dxa" w:w="14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String (Enum)</w:t>
            </w:r>
          </w:p>
        </w:tc>
        <w:tc>
          <w:tcPr>
            <w:tcW w:type="dxa" w:w="40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DistilBERT classification output: Positive or Negative. Primary bottleneck signal.</w:t>
            </w:r>
          </w:p>
        </w:tc>
      </w:tr>
      <w:tr>
        <w:tc>
          <w:tcPr>
            <w:tcW w:type="dxa" w:w="16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EBF5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Operational</w:t>
            </w:r>
          </w:p>
        </w:tc>
        <w:tc>
          <w:tcPr>
            <w:tcW w:type="dxa" w:w="24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EBF5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9"/>
                <w:szCs w:val="19"/>
              </w:rPr>
              <w:t xml:space="preserve">official_attendance</w:t>
            </w:r>
          </w:p>
        </w:tc>
        <w:tc>
          <w:tcPr>
            <w:tcW w:type="dxa" w:w="14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EBF5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Integer</w:t>
            </w:r>
          </w:p>
        </w:tc>
        <w:tc>
          <w:tcPr>
            <w:tcW w:type="dxa" w:w="40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EBF5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Verified crowd figure; primary KPI for crowd management and safety thresholds.</w:t>
            </w:r>
          </w:p>
        </w:tc>
      </w:tr>
      <w:tr>
        <w:tc>
          <w:tcPr>
            <w:tcW w:type="dxa" w:w="16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Logistics</w:t>
            </w:r>
          </w:p>
        </w:tc>
        <w:tc>
          <w:tcPr>
            <w:tcW w:type="dxa" w:w="24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9"/>
                <w:szCs w:val="19"/>
              </w:rPr>
              <w:t xml:space="preserve">capacity</w:t>
            </w:r>
          </w:p>
        </w:tc>
        <w:tc>
          <w:tcPr>
            <w:tcW w:type="dxa" w:w="14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Integer</w:t>
            </w:r>
          </w:p>
        </w:tc>
        <w:tc>
          <w:tcPr>
            <w:tcW w:type="dxa" w:w="40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Maximum venue capacity; denominator for OccupancyRate calculation.</w:t>
            </w:r>
          </w:p>
        </w:tc>
      </w:tr>
      <w:tr>
        <w:tc>
          <w:tcPr>
            <w:tcW w:type="dxa" w:w="16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EBF5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Financial</w:t>
            </w:r>
          </w:p>
        </w:tc>
        <w:tc>
          <w:tcPr>
            <w:tcW w:type="dxa" w:w="24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EBF5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9"/>
                <w:szCs w:val="19"/>
              </w:rPr>
              <w:t xml:space="preserve">revenue_Base</w:t>
            </w:r>
          </w:p>
        </w:tc>
        <w:tc>
          <w:tcPr>
            <w:tcW w:type="dxa" w:w="14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EBF5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Float</w:t>
            </w:r>
          </w:p>
        </w:tc>
        <w:tc>
          <w:tcPr>
            <w:tcW w:type="dxa" w:w="40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EBF5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Base-case financial target per match; benchmark for efficiency scoring.</w:t>
            </w:r>
          </w:p>
        </w:tc>
      </w:tr>
      <w:tr>
        <w:tc>
          <w:tcPr>
            <w:tcW w:type="dxa" w:w="16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Efficiency</w:t>
            </w:r>
          </w:p>
        </w:tc>
        <w:tc>
          <w:tcPr>
            <w:tcW w:type="dxa" w:w="24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9"/>
                <w:szCs w:val="19"/>
              </w:rPr>
              <w:t xml:space="preserve">revenue_efficiency</w:t>
            </w:r>
          </w:p>
        </w:tc>
        <w:tc>
          <w:tcPr>
            <w:tcW w:type="dxa" w:w="14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Float</w:t>
            </w:r>
          </w:p>
        </w:tc>
        <w:tc>
          <w:tcPr>
            <w:tcW w:type="dxa" w:w="40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Ratio of actual-to-predicted revenue. Values below 1.0 flag underperformance.</w:t>
            </w:r>
          </w:p>
        </w:tc>
      </w:tr>
    </w:tbl>
    <w:p>
      <w:pPr>
        <w:spacing w:after="80" w:before="24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085041"/>
          <w:sz w:val="26"/>
          <w:szCs w:val="26"/>
        </w:rPr>
        <w:t xml:space="preserve">Key Project Metrics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400"/>
        <w:gridCol w:w="5200"/>
      </w:tblGrid>
      <w:tr>
        <w:trPr>
          <w:tblHeader/>
        </w:trPr>
        <w:tc>
          <w:tcPr>
            <w:tcW w:type="dxa" w:w="2800"/>
            <w:tcBorders>
              <w:top w:val="single" w:color="85B7EB" w:sz="1"/>
              <w:left w:val="single" w:color="85B7EB" w:sz="1"/>
              <w:bottom w:val="single" w:color="85B7EB" w:sz="1"/>
              <w:right w:val="single" w:color="85B7EB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1400"/>
            <w:tcBorders>
              <w:top w:val="single" w:color="85B7EB" w:sz="1"/>
              <w:left w:val="single" w:color="85B7EB" w:sz="1"/>
              <w:bottom w:val="single" w:color="85B7EB" w:sz="1"/>
              <w:right w:val="single" w:color="85B7EB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tcW w:type="dxa" w:w="5200"/>
            <w:tcBorders>
              <w:top w:val="single" w:color="85B7EB" w:sz="1"/>
              <w:left w:val="single" w:color="85B7EB" w:sz="1"/>
              <w:bottom w:val="single" w:color="85B7EB" w:sz="1"/>
              <w:right w:val="single" w:color="85B7EB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Significance</w:t>
            </w:r>
          </w:p>
        </w:tc>
      </w:tr>
      <w:tr>
        <w:tc>
          <w:tcPr>
            <w:tcW w:type="dxa" w:w="28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Matches Processed</w:t>
            </w:r>
          </w:p>
        </w:tc>
        <w:tc>
          <w:tcPr>
            <w:tcW w:type="dxa" w:w="14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45</w:t>
            </w:r>
          </w:p>
        </w:tc>
        <w:tc>
          <w:tcPr>
            <w:tcW w:type="dxa" w:w="52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Full tournament pipeline coverage — no partial runs.</w:t>
            </w:r>
          </w:p>
        </w:tc>
      </w:tr>
      <w:tr>
        <w:tc>
          <w:tcPr>
            <w:tcW w:type="dxa" w:w="28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EBF5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Automated Python Scripts</w:t>
            </w:r>
          </w:p>
        </w:tc>
        <w:tc>
          <w:tcPr>
            <w:tcW w:type="dxa" w:w="14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EBF5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2</w:t>
            </w:r>
          </w:p>
        </w:tc>
        <w:tc>
          <w:tcPr>
            <w:tcW w:type="dxa" w:w="52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EBF5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generate_summaries.py + enrich_data.py; zero manual transformation steps.</w:t>
            </w:r>
          </w:p>
        </w:tc>
      </w:tr>
      <w:tr>
        <w:tc>
          <w:tcPr>
            <w:tcW w:type="dxa" w:w="28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Manual Data Entry Points</w:t>
            </w:r>
          </w:p>
        </w:tc>
        <w:tc>
          <w:tcPr>
            <w:tcW w:type="dxa" w:w="14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0</w:t>
            </w:r>
          </w:p>
        </w:tc>
        <w:tc>
          <w:tcPr>
            <w:tcW w:type="dxa" w:w="52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All derived fields computed programmatically post-raw-ingestion.</w:t>
            </w:r>
          </w:p>
        </w:tc>
      </w:tr>
      <w:tr>
        <w:tc>
          <w:tcPr>
            <w:tcW w:type="dxa" w:w="28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EBF5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Human Intervention Required</w:t>
            </w:r>
          </w:p>
        </w:tc>
        <w:tc>
          <w:tcPr>
            <w:tcW w:type="dxa" w:w="14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EBF5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None</w:t>
            </w:r>
          </w:p>
        </w:tc>
        <w:tc>
          <w:tcPr>
            <w:tcW w:type="dxa" w:w="52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EBF5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End-to-end execution triggered by a two-command sequence.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F4E79" w:sz="8" w:space="4"/>
        </w:pBdr>
        <w:spacing w:after="12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4. Engineering Decisions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085041"/>
          <w:sz w:val="26"/>
          <w:szCs w:val="26"/>
        </w:rPr>
        <w:t xml:space="preserve">Why Hugging Face Inference API over a locally hosted model?</w:t>
      </w:r>
    </w:p>
    <w:p>
      <w:pPr>
        <w:spacing w:after="80" w:before="8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Modularity. The Inference API decouples the AI layer from the pipeline logic. If the project requirement shifts — for example, replacing general sentiment classification with a domain-specific Tournament Safety model or a multilingual classifier for international venues — the change is a single model ID swap in enrich_data.py. The Power BI frontend and the Pandas transformation layer require zero modification.</w:t>
      </w:r>
    </w:p>
    <w:p>
      <w:pPr>
        <w:spacing w:after="60" w:before="60"/>
      </w:pPr>
    </w:p>
    <w:p>
      <w:pPr>
        <w:spacing w:after="80" w:before="8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A locally bundled model would couple model weights to the pipeline environment, increasing setup friction and making model upgrades a dependency management problem rather than a configuration change.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085041"/>
          <w:sz w:val="26"/>
          <w:szCs w:val="26"/>
        </w:rPr>
        <w:t xml:space="preserve">Why local transformation over a cloud pipeline?</w:t>
      </w:r>
    </w:p>
    <w:p>
      <w:pPr>
        <w:spacing w:after="80" w:before="8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Dashboard responsiveness and zero infrastructure cost. For a 45-match dataset, the latency introduced by a cloud orchestration layer would measurably slow the Power BI refresh cycle without providing any throughput benefit over local Pandas processing. The project lifecycle does not require multi-user concurrency or terabyte-scale volumes — the two conditions that justify cloud ETL overhead.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085041"/>
          <w:sz w:val="26"/>
          <w:szCs w:val="26"/>
        </w:rPr>
        <w:t xml:space="preserve">Why sentiment analysis on structured summaries rather than raw fields?</w:t>
      </w:r>
    </w:p>
    <w:p>
      <w:pPr>
        <w:spacing w:after="80" w:before="8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Raw numbers do not capture operational causality. A match with 98% occupancy and a revenue_efficiency of 0.74 is flagged as underperforming by the numbers — but the dashboard cannot explain whether the gap is caused by ticketing system failure, excessive complimentary allocations, or crowd management overhead. Structured match_summary strings encode this operational context in natural language, and classifying them as Negative sentiment connects the quantitative anomaly to its operational root cause.</w:t>
      </w:r>
    </w:p>
    <w:p>
      <w:r>
        <w:br w:type="page"/>
      </w:r>
    </w:p>
    <w:p>
      <w:pPr>
        <w:pStyle w:val="Heading1"/>
        <w:pBdr>
          <w:bottom w:val="single" w:color="1F4E79" w:sz="8" w:space="4"/>
        </w:pBdr>
        <w:spacing w:after="12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5. Usage Guide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085041"/>
          <w:sz w:val="26"/>
          <w:szCs w:val="26"/>
        </w:rPr>
        <w:t xml:space="preserve">Prerequisites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pip install pandas requests python-dotenv</w:t>
      </w:r>
    </w:p>
    <w:p>
      <w:pPr>
        <w:spacing w:after="40" w:before="8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Set your Hugging Face API token in a .env file at the project root: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HF_API_TOKEN=your_token_here</w:t>
      </w:r>
    </w:p>
    <w:p>
      <w:pPr>
        <w:spacing w:after="80" w:before="8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Ensure final_pro_analysis.csv is present in the /data directory before execution.</w:t>
      </w:r>
    </w:p>
    <w:p>
      <w:pPr>
        <w:spacing w:after="0" w:before="16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085041"/>
          <w:sz w:val="26"/>
          <w:szCs w:val="26"/>
        </w:rPr>
        <w:t xml:space="preserve">Step 1 — Feature Engineering &amp; Summary Generation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python generate_summaries.py</w:t>
      </w:r>
    </w:p>
    <w:p>
      <w:pPr>
        <w:spacing w:after="80" w:before="8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What this does: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Loads final_pro_analysis.csv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Computes OccupancyRate (official_attendance / capacity)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Computes revenue_efficiency (actual_revenue / revenue_Base)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Generates a structured match_summary string for each row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Writes intermediate output to final_pro_analysis_processed.csv</w:t>
      </w:r>
    </w:p>
    <w:p>
      <w:pPr>
        <w:spacing w:after="0" w:before="16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085041"/>
          <w:sz w:val="26"/>
          <w:szCs w:val="26"/>
        </w:rPr>
        <w:t xml:space="preserve">Step 2 — AI Enrichment via Hugging Face Inference API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python enrich_data.py</w:t>
      </w:r>
    </w:p>
    <w:p>
      <w:pPr>
        <w:spacing w:after="80" w:before="8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What this does: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Loads final_pro_analysis_processed.csv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Submits each match_summary to the Hugging Face Inference API (distilbert-base-uncased)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Appends the returned AI_Sentiment label to each row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Writes the final enriched dataset to final_pro_analysis_AI_Enriched.csv</w:t>
      </w:r>
    </w:p>
    <w:p>
      <w:pPr>
        <w:spacing w:after="0" w:before="16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085041"/>
          <w:sz w:val="26"/>
          <w:szCs w:val="26"/>
        </w:rPr>
        <w:t xml:space="preserve">Step 3 — Refresh Power BI Dashboard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Open Tournament_Command_Center.pbix in Power BI Desktop.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Navigate to Home &gt; Transform Data &gt; Refresh Preview.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Confirm the data source path points to final_pro_analysis_AI_Enriched.csv.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Click Close &amp; Apply.</w:t>
      </w:r>
    </w:p>
    <w:p>
      <w:pPr>
        <w:spacing w:after="0" w:before="16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085041"/>
          <w:sz w:val="26"/>
          <w:szCs w:val="26"/>
        </w:rPr>
        <w:t xml:space="preserve">Full Pipeline — One-Line Execution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python generate_summaries.py &amp;&amp; python enrich_data.py</w:t>
      </w:r>
    </w:p>
    <w:p>
      <w:r>
        <w:br w:type="page"/>
      </w:r>
    </w:p>
    <w:p>
      <w:pPr>
        <w:pStyle w:val="Heading1"/>
        <w:pBdr>
          <w:bottom w:val="single" w:color="1F4E79" w:sz="8" w:space="4"/>
        </w:pBdr>
        <w:spacing w:after="12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6. Repository Structure</w:t>
      </w:r>
    </w:p>
    <w:p>
      <w:pPr>
        <w:spacing w:after="20" w:before="2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tournament-logistics-command-center/</w:t>
      </w:r>
    </w:p>
    <w:p>
      <w:pPr>
        <w:spacing w:after="20" w:before="2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├── data/</w:t>
      </w:r>
    </w:p>
    <w:p>
      <w:pPr>
        <w:spacing w:after="20" w:before="2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│   ├── final_pro_analysis.csv                 # Raw source (45 matches)</w:t>
      </w:r>
    </w:p>
    <w:p>
      <w:pPr>
        <w:spacing w:after="20" w:before="2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│   ├── final_pro_analysis_processed.csv       # Post-feature engineering</w:t>
      </w:r>
    </w:p>
    <w:p>
      <w:pPr>
        <w:spacing w:after="20" w:before="2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│   └── final_pro_analysis_AI_Enriched.csv     # Final enriched output</w:t>
      </w:r>
    </w:p>
    <w:p>
      <w:pPr>
        <w:spacing w:after="20" w:before="2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├── generate_summaries.py                      # Stage 2: Feature engineering</w:t>
      </w:r>
    </w:p>
    <w:p>
      <w:pPr>
        <w:spacing w:after="20" w:before="2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├── enrich_data.py                             # Stage 3: AI enrichment</w:t>
      </w:r>
    </w:p>
    <w:p>
      <w:pPr>
        <w:spacing w:after="20" w:before="2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├── Tournament_Command_Center.pbix             # Power BI dashboard</w:t>
      </w:r>
    </w:p>
    <w:p>
      <w:pPr>
        <w:spacing w:after="20" w:before="2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├── .env.example                               # Token config template</w:t>
      </w:r>
    </w:p>
    <w:p>
      <w:pPr>
        <w:spacing w:after="20" w:before="2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├── requirements.txt                           # Python dependencies</w:t>
      </w:r>
    </w:p>
    <w:p>
      <w:pPr>
        <w:spacing w:after="20" w:before="2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└── Project_Passport.md                        # This document</w:t>
      </w:r>
    </w:p>
    <w:p>
      <w:pPr>
        <w:pBdr>
          <w:bottom w:val="single" w:color="BDC3C7" w:sz="6" w:space="1"/>
        </w:pBdr>
        <w:spacing w:after="200" w:before="200"/>
      </w:pPr>
    </w:p>
    <w:p>
      <w:pPr>
        <w:spacing w:after="0" w:before="120"/>
        <w:jc w:val="center"/>
      </w:pPr>
      <w:r>
        <w:rPr>
          <w:rFonts w:ascii="Arial" w:cs="Arial" w:eastAsia="Arial" w:hAnsi="Arial"/>
          <w:i/>
          <w:iCs/>
          <w:color w:val="95A5A6"/>
          <w:sz w:val="18"/>
          <w:szCs w:val="18"/>
        </w:rPr>
        <w:t xml:space="preserve">Document version: 1.0  ·  June 2026</w:t>
      </w:r>
    </w:p>
    <w:sectPr>
      <w:pgSz w:w="12240" w:h="15840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2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085041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63869ffba2f0ec75d6e4886c6cc713e3f8a6ec17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2026-06-28T09:33:04.070Z</dcterms:created>
  <dcterms:modified xsi:type="dcterms:W3CDTF">2026-06-28T09:33:04.071Z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