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FHIR API Data Ingestion &amp; Analytics</w:t>
      </w:r>
    </w:p>
    <w:p>
      <w:pPr>
        <w:jc w:val="center"/>
      </w:pPr>
      <w:r>
        <w:rPr>
          <w:b/>
          <w:sz w:val="28"/>
        </w:rPr>
        <w:t>Technical Project Documentation</w:t>
      </w:r>
    </w:p>
    <w:p>
      <w:pPr>
        <w:jc w:val="center"/>
      </w:pPr>
      <w:r>
        <w:rPr>
          <w:i/>
        </w:rPr>
        <w:t>Platform: Databricks Free Edition | Processing: PySpark | Architecture: Medallion</w:t>
      </w:r>
    </w:p>
    <w:p/>
    <w:p>
      <w:pPr>
        <w:pStyle w:val="Heading1"/>
      </w:pPr>
      <w:r>
        <w:t>1. Project Overview</w:t>
      </w:r>
    </w:p>
    <w:p>
      <w:r>
        <w:t>This project implements an end-to-end healthcare data engineering pipeline that ingests data from the public HAPI FHIR R4 API and processes four FHIR resources: Patient, Encounter, Observation, and Condition. The solution is implemented in Databricks using PySpark and follows a Medallion Architecture consisting of Raw, Bronze, Silver, and Gold layers.</w:t>
      </w:r>
    </w:p>
    <w:p>
      <w:r>
        <w:t>The pipeline supports incremental extraction, API pagination, raw JSON preservation, Delta-based processing, data cleansing, deduplication, SCD Type 2 versioning, metadata logging, data-quality validation, and Databricks Workflow orchestration.</w:t>
      </w:r>
    </w:p>
    <w:p>
      <w:pPr>
        <w:pStyle w:val="Heading1"/>
      </w:pPr>
      <w:r>
        <w:t>2. Assignment Scope</w:t>
      </w:r>
    </w:p>
    <w:p>
      <w:r>
        <w:t>The implementation addresses the assignment requirements for incremental FHIR API ingestion, pagination, Raw-to-Bronze-to-Silver-to-Gold processing, metadata/versioning, modular reusable code, orchestration, and documentation.</w:t>
      </w:r>
    </w:p>
    <w:p>
      <w:pPr>
        <w:pStyle w:val="Heading1"/>
      </w:pPr>
      <w:r>
        <w:t>3. Technology Stack</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Component</w:t>
            </w:r>
          </w:p>
        </w:tc>
        <w:tc>
          <w:tcPr>
            <w:tcW w:type="dxa" w:w="4968"/>
          </w:tcPr>
          <w:p>
            <w:r>
              <w:rPr>
                <w:b/>
              </w:rPr>
              <w:t>Technology</w:t>
            </w:r>
          </w:p>
        </w:tc>
      </w:tr>
      <w:tr>
        <w:tc>
          <w:tcPr>
            <w:tcW w:type="dxa" w:w="4968"/>
            <w:vAlign w:val="center"/>
          </w:tcPr>
          <w:p>
            <w:r>
              <w:t>Data Platform</w:t>
            </w:r>
          </w:p>
        </w:tc>
        <w:tc>
          <w:tcPr>
            <w:tcW w:type="dxa" w:w="4968"/>
            <w:vAlign w:val="center"/>
          </w:tcPr>
          <w:p>
            <w:r>
              <w:t>Databricks Free Edition</w:t>
            </w:r>
          </w:p>
        </w:tc>
      </w:tr>
      <w:tr>
        <w:tc>
          <w:tcPr>
            <w:tcW w:type="dxa" w:w="4968"/>
            <w:vAlign w:val="center"/>
          </w:tcPr>
          <w:p>
            <w:r>
              <w:t>Processing</w:t>
            </w:r>
          </w:p>
        </w:tc>
        <w:tc>
          <w:tcPr>
            <w:tcW w:type="dxa" w:w="4968"/>
            <w:vAlign w:val="center"/>
          </w:tcPr>
          <w:p>
            <w:r>
              <w:t>Apache Spark / PySpark</w:t>
            </w:r>
          </w:p>
        </w:tc>
      </w:tr>
      <w:tr>
        <w:tc>
          <w:tcPr>
            <w:tcW w:type="dxa" w:w="4968"/>
            <w:vAlign w:val="center"/>
          </w:tcPr>
          <w:p>
            <w:r>
              <w:t>Source API</w:t>
            </w:r>
          </w:p>
        </w:tc>
        <w:tc>
          <w:tcPr>
            <w:tcW w:type="dxa" w:w="4968"/>
            <w:vAlign w:val="center"/>
          </w:tcPr>
          <w:p>
            <w:r>
              <w:t>HAPI FHIR R4 API</w:t>
            </w:r>
          </w:p>
        </w:tc>
      </w:tr>
      <w:tr>
        <w:tc>
          <w:tcPr>
            <w:tcW w:type="dxa" w:w="4968"/>
            <w:vAlign w:val="center"/>
          </w:tcPr>
          <w:p>
            <w:r>
              <w:t>Source Format</w:t>
            </w:r>
          </w:p>
        </w:tc>
        <w:tc>
          <w:tcPr>
            <w:tcW w:type="dxa" w:w="4968"/>
            <w:vAlign w:val="center"/>
          </w:tcPr>
          <w:p>
            <w:r>
              <w:t>FHIR JSON</w:t>
            </w:r>
          </w:p>
        </w:tc>
      </w:tr>
      <w:tr>
        <w:tc>
          <w:tcPr>
            <w:tcW w:type="dxa" w:w="4968"/>
            <w:vAlign w:val="center"/>
          </w:tcPr>
          <w:p>
            <w:r>
              <w:t>Storage Formats</w:t>
            </w:r>
          </w:p>
        </w:tc>
        <w:tc>
          <w:tcPr>
            <w:tcW w:type="dxa" w:w="4968"/>
            <w:vAlign w:val="center"/>
          </w:tcPr>
          <w:p>
            <w:r>
              <w:t>JSON and Delta</w:t>
            </w:r>
          </w:p>
        </w:tc>
      </w:tr>
      <w:tr>
        <w:tc>
          <w:tcPr>
            <w:tcW w:type="dxa" w:w="4968"/>
            <w:vAlign w:val="center"/>
          </w:tcPr>
          <w:p>
            <w:r>
              <w:t>Architecture</w:t>
            </w:r>
          </w:p>
        </w:tc>
        <w:tc>
          <w:tcPr>
            <w:tcW w:type="dxa" w:w="4968"/>
            <w:vAlign w:val="center"/>
          </w:tcPr>
          <w:p>
            <w:r>
              <w:t>Medallion Architecture</w:t>
            </w:r>
          </w:p>
        </w:tc>
      </w:tr>
      <w:tr>
        <w:tc>
          <w:tcPr>
            <w:tcW w:type="dxa" w:w="4968"/>
            <w:vAlign w:val="center"/>
          </w:tcPr>
          <w:p>
            <w:r>
              <w:t>Orchestration</w:t>
            </w:r>
          </w:p>
        </w:tc>
        <w:tc>
          <w:tcPr>
            <w:tcW w:type="dxa" w:w="4968"/>
            <w:vAlign w:val="center"/>
          </w:tcPr>
          <w:p>
            <w:r>
              <w:t>Databricks Workflows</w:t>
            </w:r>
          </w:p>
        </w:tc>
      </w:tr>
      <w:tr>
        <w:tc>
          <w:tcPr>
            <w:tcW w:type="dxa" w:w="4968"/>
            <w:vAlign w:val="center"/>
          </w:tcPr>
          <w:p>
            <w:r>
              <w:t>Versioning</w:t>
            </w:r>
          </w:p>
        </w:tc>
        <w:tc>
          <w:tcPr>
            <w:tcW w:type="dxa" w:w="4968"/>
            <w:vAlign w:val="center"/>
          </w:tcPr>
          <w:p>
            <w:r>
              <w:t>SCD Type 2</w:t>
            </w:r>
          </w:p>
        </w:tc>
      </w:tr>
      <w:tr>
        <w:tc>
          <w:tcPr>
            <w:tcW w:type="dxa" w:w="4968"/>
            <w:vAlign w:val="center"/>
          </w:tcPr>
          <w:p>
            <w:r>
              <w:t>Source Control</w:t>
            </w:r>
          </w:p>
        </w:tc>
        <w:tc>
          <w:tcPr>
            <w:tcW w:type="dxa" w:w="4968"/>
            <w:vAlign w:val="center"/>
          </w:tcPr>
          <w:p>
            <w:r>
              <w:t>GitHub (submission repository)</w:t>
            </w:r>
          </w:p>
        </w:tc>
      </w:tr>
    </w:tbl>
    <w:p/>
    <w:p>
      <w:pPr>
        <w:pStyle w:val="Heading1"/>
      </w:pPr>
      <w:r>
        <w:t>4. Source API</w:t>
      </w:r>
    </w:p>
    <w:p>
      <w:r>
        <w:t>Base API:</w:t>
      </w:r>
    </w:p>
    <w:p>
      <w:r>
        <w:t>https://hapi.fhir.org/baseR4</w:t>
      </w:r>
    </w:p>
    <w:p>
      <w:r>
        <w:t>Resources ingested:</w:t>
      </w:r>
    </w:p>
    <w:p>
      <w:pPr>
        <w:pStyle w:val="ListBullet"/>
      </w:pPr>
      <w:r>
        <w:t>Patient</w:t>
      </w:r>
    </w:p>
    <w:p>
      <w:pPr>
        <w:pStyle w:val="ListBullet"/>
      </w:pPr>
      <w:r>
        <w:t>Encounter</w:t>
      </w:r>
    </w:p>
    <w:p>
      <w:pPr>
        <w:pStyle w:val="ListBullet"/>
      </w:pPr>
      <w:r>
        <w:t>Observation</w:t>
      </w:r>
    </w:p>
    <w:p>
      <w:pPr>
        <w:pStyle w:val="ListBullet"/>
      </w:pPr>
      <w:r>
        <w:t>Condition</w:t>
      </w:r>
    </w:p>
    <w:p>
      <w:pPr>
        <w:pStyle w:val="Heading1"/>
      </w:pPr>
      <w:r>
        <w:t>5. End-to-End Architecture</w:t>
      </w:r>
    </w:p>
    <w:p>
      <w:r>
        <w:t>The overall processing flow is:</w:t>
      </w:r>
    </w:p>
    <w:p>
      <w:pPr>
        <w:pStyle w:val="ListBullet"/>
      </w:pPr>
      <w:r>
        <w:t>HAPI FHIR R4 API</w:t>
      </w:r>
    </w:p>
    <w:p>
      <w:pPr>
        <w:pStyle w:val="ListBullet"/>
      </w:pPr>
      <w:r>
        <w:t>Incremental extraction using _lastUpdated</w:t>
      </w:r>
    </w:p>
    <w:p>
      <w:pPr>
        <w:pStyle w:val="ListBullet"/>
      </w:pPr>
      <w:r>
        <w:t>Raw JSON storage by resource and execution date</w:t>
      </w:r>
    </w:p>
    <w:p>
      <w:pPr>
        <w:pStyle w:val="ListBullet"/>
      </w:pPr>
      <w:r>
        <w:t>Bronze Delta tables with ingestion metadata</w:t>
      </w:r>
    </w:p>
    <w:p>
      <w:pPr>
        <w:pStyle w:val="ListBullet"/>
      </w:pPr>
      <w:r>
        <w:t>Silver cleansing, parsing, deduplication and SCD Type 2</w:t>
      </w:r>
    </w:p>
    <w:p>
      <w:pPr>
        <w:pStyle w:val="ListBullet"/>
      </w:pPr>
      <w:r>
        <w:t>Gold analytical and reporting tables</w:t>
      </w:r>
    </w:p>
    <w:p>
      <w:pPr>
        <w:pStyle w:val="ListBullet"/>
      </w:pPr>
      <w:r>
        <w:t>Databricks Workflow orchestration</w:t>
      </w:r>
    </w:p>
    <w:p>
      <w:pPr>
        <w:pStyle w:val="Heading1"/>
      </w:pPr>
      <w:r>
        <w:t>6. Incremental Ingestion</w:t>
      </w:r>
    </w:p>
    <w:p>
      <w:r>
        <w:t>The ingestion notebook is parameterized with a three-day lookback window. The FHIR _lastUpdated search parameter is used to retrieve records that were created or updated during the requested period.</w:t>
      </w:r>
    </w:p>
    <w:p>
      <w:r>
        <w:t>Key configuration includes: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Parameter</w:t>
            </w:r>
          </w:p>
        </w:tc>
        <w:tc>
          <w:tcPr>
            <w:tcW w:type="dxa" w:w="4968"/>
          </w:tcPr>
          <w:p>
            <w:r>
              <w:rPr>
                <w:b/>
              </w:rPr>
              <w:t>Configured Value</w:t>
            </w:r>
          </w:p>
        </w:tc>
      </w:tr>
      <w:tr>
        <w:tc>
          <w:tcPr>
            <w:tcW w:type="dxa" w:w="4968"/>
            <w:vAlign w:val="center"/>
          </w:tcPr>
          <w:p>
            <w:r>
              <w:t>LOOKBACK_DAYS</w:t>
            </w:r>
          </w:p>
        </w:tc>
        <w:tc>
          <w:tcPr>
            <w:tcW w:type="dxa" w:w="4968"/>
            <w:vAlign w:val="center"/>
          </w:tcPr>
          <w:p>
            <w:r>
              <w:t>3</w:t>
            </w:r>
          </w:p>
        </w:tc>
      </w:tr>
      <w:tr>
        <w:tc>
          <w:tcPr>
            <w:tcW w:type="dxa" w:w="4968"/>
            <w:vAlign w:val="center"/>
          </w:tcPr>
          <w:p>
            <w:r>
              <w:t>PAGE_SIZE</w:t>
            </w:r>
          </w:p>
        </w:tc>
        <w:tc>
          <w:tcPr>
            <w:tcW w:type="dxa" w:w="4968"/>
            <w:vAlign w:val="center"/>
          </w:tcPr>
          <w:p>
            <w:r>
              <w:t>100</w:t>
            </w:r>
          </w:p>
        </w:tc>
      </w:tr>
      <w:tr>
        <w:tc>
          <w:tcPr>
            <w:tcW w:type="dxa" w:w="4968"/>
            <w:vAlign w:val="center"/>
          </w:tcPr>
          <w:p>
            <w:r>
              <w:t>REQUEST_TIMEOUT</w:t>
            </w:r>
          </w:p>
        </w:tc>
        <w:tc>
          <w:tcPr>
            <w:tcW w:type="dxa" w:w="4968"/>
            <w:vAlign w:val="center"/>
          </w:tcPr>
          <w:p>
            <w:r>
              <w:t>60 seconds</w:t>
            </w:r>
          </w:p>
        </w:tc>
      </w:tr>
      <w:tr>
        <w:tc>
          <w:tcPr>
            <w:tcW w:type="dxa" w:w="4968"/>
            <w:vAlign w:val="center"/>
          </w:tcPr>
          <w:p>
            <w:r>
              <w:t>MAX_RETRIES</w:t>
            </w:r>
          </w:p>
        </w:tc>
        <w:tc>
          <w:tcPr>
            <w:tcW w:type="dxa" w:w="4968"/>
            <w:vAlign w:val="center"/>
          </w:tcPr>
          <w:p>
            <w:r>
              <w:t>3</w:t>
            </w:r>
          </w:p>
        </w:tc>
      </w:tr>
      <w:tr>
        <w:tc>
          <w:tcPr>
            <w:tcW w:type="dxa" w:w="4968"/>
            <w:vAlign w:val="center"/>
          </w:tcPr>
          <w:p>
            <w:r>
              <w:t>RETRY_WAIT_SECONDS</w:t>
            </w:r>
          </w:p>
        </w:tc>
        <w:tc>
          <w:tcPr>
            <w:tcW w:type="dxa" w:w="4968"/>
            <w:vAlign w:val="center"/>
          </w:tcPr>
          <w:p>
            <w:r>
              <w:t>5</w:t>
            </w:r>
          </w:p>
        </w:tc>
      </w:tr>
    </w:tbl>
    <w:p/>
    <w:p>
      <w:r>
        <w:t>The API URL and parameters are retained in Bronze metadata so that the extraction can be traced back to the source request.</w:t>
      </w:r>
    </w:p>
    <w:p>
      <w:pPr>
        <w:pStyle w:val="Heading1"/>
      </w:pPr>
      <w:r>
        <w:t>7. API Pagination</w:t>
      </w:r>
    </w:p>
    <w:p>
      <w:r>
        <w:t>FHIR search responses are returned as Bundles. The ingestion logic checks the Bundle link collection for the relation 'next' and continues requesting pages until no next page is available. Each API page is stored separately in the Raw layer.</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Resource</w:t>
            </w:r>
          </w:p>
        </w:tc>
        <w:tc>
          <w:tcPr>
            <w:tcW w:type="dxa" w:w="4968"/>
          </w:tcPr>
          <w:p>
            <w:r>
              <w:rPr>
                <w:b/>
              </w:rPr>
              <w:t>Raw JSON Pages Validated</w:t>
            </w:r>
          </w:p>
        </w:tc>
      </w:tr>
      <w:tr>
        <w:tc>
          <w:tcPr>
            <w:tcW w:type="dxa" w:w="4968"/>
            <w:vAlign w:val="center"/>
          </w:tcPr>
          <w:p>
            <w:r>
              <w:t>Patient</w:t>
            </w:r>
          </w:p>
        </w:tc>
        <w:tc>
          <w:tcPr>
            <w:tcW w:type="dxa" w:w="4968"/>
            <w:vAlign w:val="center"/>
          </w:tcPr>
          <w:p>
            <w:r>
              <w:t>16</w:t>
            </w:r>
          </w:p>
        </w:tc>
      </w:tr>
      <w:tr>
        <w:tc>
          <w:tcPr>
            <w:tcW w:type="dxa" w:w="4968"/>
            <w:vAlign w:val="center"/>
          </w:tcPr>
          <w:p>
            <w:r>
              <w:t>Encounter</w:t>
            </w:r>
          </w:p>
        </w:tc>
        <w:tc>
          <w:tcPr>
            <w:tcW w:type="dxa" w:w="4968"/>
            <w:vAlign w:val="center"/>
          </w:tcPr>
          <w:p>
            <w:r>
              <w:t>3</w:t>
            </w:r>
          </w:p>
        </w:tc>
      </w:tr>
      <w:tr>
        <w:tc>
          <w:tcPr>
            <w:tcW w:type="dxa" w:w="4968"/>
            <w:vAlign w:val="center"/>
          </w:tcPr>
          <w:p>
            <w:r>
              <w:t>Observation</w:t>
            </w:r>
          </w:p>
        </w:tc>
        <w:tc>
          <w:tcPr>
            <w:tcW w:type="dxa" w:w="4968"/>
            <w:vAlign w:val="center"/>
          </w:tcPr>
          <w:p>
            <w:r>
              <w:t>11</w:t>
            </w:r>
          </w:p>
        </w:tc>
      </w:tr>
      <w:tr>
        <w:tc>
          <w:tcPr>
            <w:tcW w:type="dxa" w:w="4968"/>
            <w:vAlign w:val="center"/>
          </w:tcPr>
          <w:p>
            <w:r>
              <w:t>Condition</w:t>
            </w:r>
          </w:p>
        </w:tc>
        <w:tc>
          <w:tcPr>
            <w:tcW w:type="dxa" w:w="4968"/>
            <w:vAlign w:val="center"/>
          </w:tcPr>
          <w:p>
            <w:r>
              <w:t>23</w:t>
            </w:r>
          </w:p>
        </w:tc>
      </w:tr>
    </w:tbl>
    <w:p/>
    <w:p>
      <w:pPr>
        <w:pStyle w:val="Heading1"/>
      </w:pPr>
      <w:r>
        <w:t>8. Raw Layer</w:t>
      </w:r>
    </w:p>
    <w:p>
      <w:r>
        <w:t>The Raw layer preserves the API responses as JSON without converting the original FHIR Bundle response into a relational structure. Data is organized by resource and date.</w:t>
      </w:r>
    </w:p>
    <w:p>
      <w:r>
        <w:t>Example folder structure:</w:t>
      </w:r>
    </w:p>
    <w:p>
      <w:pPr>
        <w:pStyle w:val="ListBullet"/>
      </w:pPr>
      <w:r>
        <w:t>Raw/Patient/YYYY-MM-DD/</w:t>
      </w:r>
    </w:p>
    <w:p>
      <w:pPr>
        <w:pStyle w:val="ListBullet"/>
      </w:pPr>
      <w:r>
        <w:t>Raw/Encounter/YYYY-MM-DD/</w:t>
      </w:r>
    </w:p>
    <w:p>
      <w:pPr>
        <w:pStyle w:val="ListBullet"/>
      </w:pPr>
      <w:r>
        <w:t>Raw/Observation/YYYY-MM-DD/</w:t>
      </w:r>
    </w:p>
    <w:p>
      <w:pPr>
        <w:pStyle w:val="ListBullet"/>
      </w:pPr>
      <w:r>
        <w:t>Raw/Condition/YYYY-MM-DD/</w:t>
      </w:r>
    </w:p>
    <w:p>
      <w:r>
        <w:t>For the 2026-09-09 execution, raw files were successfully validated under the resource/date folders. Example: Raw/Patient/2026-09-09/batch_0001.json.</w:t>
      </w:r>
    </w:p>
    <w:p>
      <w:pPr>
        <w:pStyle w:val="Heading1"/>
      </w:pPr>
      <w:r>
        <w:t>9. Bronze Layer</w:t>
      </w:r>
    </w:p>
    <w:p>
      <w:r>
        <w:t>Raw FHIR resources are converted to Bronze Delta tables using PySpark. The resource JSON is retained as a string together with operational metadata.</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Bronze Table</w:t>
            </w:r>
          </w:p>
        </w:tc>
        <w:tc>
          <w:tcPr>
            <w:tcW w:type="dxa" w:w="4968"/>
          </w:tcPr>
          <w:p>
            <w:r>
              <w:rPr>
                <w:b/>
              </w:rPr>
              <w:t>Validated Records</w:t>
            </w:r>
          </w:p>
        </w:tc>
      </w:tr>
      <w:tr>
        <w:tc>
          <w:tcPr>
            <w:tcW w:type="dxa" w:w="4968"/>
            <w:vAlign w:val="center"/>
          </w:tcPr>
          <w:p>
            <w:r>
              <w:t>bronze_patient</w:t>
            </w:r>
          </w:p>
        </w:tc>
        <w:tc>
          <w:tcPr>
            <w:tcW w:type="dxa" w:w="4968"/>
            <w:vAlign w:val="center"/>
          </w:tcPr>
          <w:p>
            <w:r>
              <w:t>13,755</w:t>
            </w:r>
          </w:p>
        </w:tc>
      </w:tr>
      <w:tr>
        <w:tc>
          <w:tcPr>
            <w:tcW w:type="dxa" w:w="4968"/>
            <w:vAlign w:val="center"/>
          </w:tcPr>
          <w:p>
            <w:r>
              <w:t>bronze_encounter</w:t>
            </w:r>
          </w:p>
        </w:tc>
        <w:tc>
          <w:tcPr>
            <w:tcW w:type="dxa" w:w="4968"/>
            <w:vAlign w:val="center"/>
          </w:tcPr>
          <w:p>
            <w:r>
              <w:t>1,990</w:t>
            </w:r>
          </w:p>
        </w:tc>
      </w:tr>
      <w:tr>
        <w:tc>
          <w:tcPr>
            <w:tcW w:type="dxa" w:w="4968"/>
            <w:vAlign w:val="center"/>
          </w:tcPr>
          <w:p>
            <w:r>
              <w:t>bronze_observation</w:t>
            </w:r>
          </w:p>
        </w:tc>
        <w:tc>
          <w:tcPr>
            <w:tcW w:type="dxa" w:w="4968"/>
            <w:vAlign w:val="center"/>
          </w:tcPr>
          <w:p>
            <w:r>
              <w:t>8,653</w:t>
            </w:r>
          </w:p>
        </w:tc>
      </w:tr>
      <w:tr>
        <w:tc>
          <w:tcPr>
            <w:tcW w:type="dxa" w:w="4968"/>
            <w:vAlign w:val="center"/>
          </w:tcPr>
          <w:p>
            <w:r>
              <w:t>bronze_condition</w:t>
            </w:r>
          </w:p>
        </w:tc>
        <w:tc>
          <w:tcPr>
            <w:tcW w:type="dxa" w:w="4968"/>
            <w:vAlign w:val="center"/>
          </w:tcPr>
          <w:p>
            <w:r>
              <w:t>20,621</w:t>
            </w:r>
          </w:p>
        </w:tc>
      </w:tr>
    </w:tbl>
    <w:p/>
    <w:p>
      <w:r>
        <w:t>Important Bronze columns:</w:t>
      </w:r>
    </w:p>
    <w:p>
      <w:pPr>
        <w:pStyle w:val="ListBullet"/>
      </w:pPr>
      <w:r>
        <w:t>resource_id</w:t>
      </w:r>
    </w:p>
    <w:p>
      <w:pPr>
        <w:pStyle w:val="ListBullet"/>
      </w:pPr>
      <w:r>
        <w:t>resource_type</w:t>
      </w:r>
    </w:p>
    <w:p>
      <w:pPr>
        <w:pStyle w:val="ListBullet"/>
      </w:pPr>
      <w:r>
        <w:t>resource_json</w:t>
      </w:r>
    </w:p>
    <w:p>
      <w:pPr>
        <w:pStyle w:val="ListBullet"/>
      </w:pPr>
      <w:r>
        <w:t>extraction_timestamp</w:t>
      </w:r>
    </w:p>
    <w:p>
      <w:pPr>
        <w:pStyle w:val="ListBullet"/>
      </w:pPr>
      <w:r>
        <w:t>api_url_or_params</w:t>
      </w:r>
    </w:p>
    <w:p>
      <w:pPr>
        <w:pStyle w:val="ListBullet"/>
      </w:pPr>
      <w:r>
        <w:t>source_page</w:t>
      </w:r>
    </w:p>
    <w:p>
      <w:pPr>
        <w:pStyle w:val="ListBullet"/>
      </w:pPr>
      <w:r>
        <w:t>ingestion_date</w:t>
      </w:r>
    </w:p>
    <w:p>
      <w:pPr>
        <w:pStyle w:val="Heading1"/>
      </w:pPr>
      <w:r>
        <w:t>10. Silver Layer</w:t>
      </w:r>
    </w:p>
    <w:p>
      <w:r>
        <w:t>The Silver layer converts the semi-structured resource JSON into clean analytical columns. Spark JSON functions are used to extract resource attributes. Data is also deduplicated and prepared for historical tracking.</w:t>
      </w:r>
    </w:p>
    <w:p>
      <w:r>
        <w:t>Examples of cleaned attributes include:</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Resource</w:t>
            </w:r>
          </w:p>
        </w:tc>
        <w:tc>
          <w:tcPr>
            <w:tcW w:type="dxa" w:w="4968"/>
          </w:tcPr>
          <w:p>
            <w:r>
              <w:rPr>
                <w:b/>
              </w:rPr>
              <w:t>Representative Silver Attributes</w:t>
            </w:r>
          </w:p>
        </w:tc>
      </w:tr>
      <w:tr>
        <w:tc>
          <w:tcPr>
            <w:tcW w:type="dxa" w:w="4968"/>
            <w:vAlign w:val="center"/>
          </w:tcPr>
          <w:p>
            <w:r>
              <w:t>Patient</w:t>
            </w:r>
          </w:p>
        </w:tc>
        <w:tc>
          <w:tcPr>
            <w:tcW w:type="dxa" w:w="4968"/>
            <w:vAlign w:val="center"/>
          </w:tcPr>
          <w:p>
            <w:r>
              <w:t>patient_id, gender, birth_date, active, names, address</w:t>
            </w:r>
          </w:p>
        </w:tc>
      </w:tr>
      <w:tr>
        <w:tc>
          <w:tcPr>
            <w:tcW w:type="dxa" w:w="4968"/>
            <w:vAlign w:val="center"/>
          </w:tcPr>
          <w:p>
            <w:r>
              <w:t>Encounter</w:t>
            </w:r>
          </w:p>
        </w:tc>
        <w:tc>
          <w:tcPr>
            <w:tcW w:type="dxa" w:w="4968"/>
            <w:vAlign w:val="center"/>
          </w:tcPr>
          <w:p>
            <w:r>
              <w:t>encounter_id, status, class, start/end, patient_id</w:t>
            </w:r>
          </w:p>
        </w:tc>
      </w:tr>
      <w:tr>
        <w:tc>
          <w:tcPr>
            <w:tcW w:type="dxa" w:w="4968"/>
            <w:vAlign w:val="center"/>
          </w:tcPr>
          <w:p>
            <w:r>
              <w:t>Observation</w:t>
            </w:r>
          </w:p>
        </w:tc>
        <w:tc>
          <w:tcPr>
            <w:tcW w:type="dxa" w:w="4968"/>
            <w:vAlign w:val="center"/>
          </w:tcPr>
          <w:p>
            <w:r>
              <w:t>observation_id, status, code, value, unit, patient_id</w:t>
            </w:r>
          </w:p>
        </w:tc>
      </w:tr>
      <w:tr>
        <w:tc>
          <w:tcPr>
            <w:tcW w:type="dxa" w:w="4968"/>
            <w:vAlign w:val="center"/>
          </w:tcPr>
          <w:p>
            <w:r>
              <w:t>Condition</w:t>
            </w:r>
          </w:p>
        </w:tc>
        <w:tc>
          <w:tcPr>
            <w:tcW w:type="dxa" w:w="4968"/>
            <w:vAlign w:val="center"/>
          </w:tcPr>
          <w:p>
            <w:r>
              <w:t>condition_id, clinical/verification status, code, onset, patient_id</w:t>
            </w:r>
          </w:p>
        </w:tc>
      </w:tr>
    </w:tbl>
    <w:p/>
    <w:p>
      <w:pPr>
        <w:pStyle w:val="Heading1"/>
      </w:pPr>
      <w:r>
        <w:t>11. Deduplication</w:t>
      </w:r>
    </w:p>
    <w:p>
      <w:r>
        <w:t>Duplicate records are handled using Spark window functions. Records are ranked by extraction_timestamp and the FHIR resource_last_updated value, with the most recent version retained as the current record.</w:t>
      </w:r>
    </w:p>
    <w:p>
      <w:pPr>
        <w:pStyle w:val="Heading1"/>
      </w:pPr>
      <w:r>
        <w:t>12. SCD Type 2</w:t>
      </w:r>
    </w:p>
    <w:p>
      <w:r>
        <w:t>SCD Type 2 logic is implemented in the Silver layer to maintain historical versions when a source record changes. A hash of the relevant source data is compared with the current target version. When a change is detected, the existing version is expired and a new current version is inserted.</w:t>
      </w:r>
    </w:p>
    <w:p>
      <w:r>
        <w:t>SCD Type 2 fields:</w:t>
      </w:r>
    </w:p>
    <w:p>
      <w:pPr>
        <w:pStyle w:val="ListBullet"/>
      </w:pPr>
      <w:r>
        <w:t>effective_start_date</w:t>
      </w:r>
    </w:p>
    <w:p>
      <w:pPr>
        <w:pStyle w:val="ListBullet"/>
      </w:pPr>
      <w:r>
        <w:t>effective_end_date</w:t>
      </w:r>
    </w:p>
    <w:p>
      <w:pPr>
        <w:pStyle w:val="ListBullet"/>
      </w:pPr>
      <w:r>
        <w:t>is_current</w:t>
      </w:r>
    </w:p>
    <w:p>
      <w:pPr>
        <w:pStyle w:val="ListBullet"/>
      </w:pPr>
      <w:r>
        <w:t>created_timestamp</w:t>
      </w:r>
    </w:p>
    <w:p>
      <w:pPr>
        <w:pStyle w:val="ListBullet"/>
      </w:pPr>
      <w:r>
        <w:t>updated_timestamp</w:t>
      </w:r>
    </w:p>
    <w:p>
      <w:r>
        <w:t>The latest validation run showed zero historical records because no source changes were detected during that particular load. This is expected when no changes occur.</w:t>
      </w:r>
    </w:p>
    <w:p>
      <w:pPr>
        <w:pStyle w:val="Heading1"/>
      </w:pPr>
      <w:r>
        <w:t>13. Gold Layer</w:t>
      </w:r>
    </w:p>
    <w:p>
      <w:r>
        <w:t>The Gold layer provides business-ready tables and reporting views.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Gold Object</w:t>
            </w:r>
          </w:p>
        </w:tc>
        <w:tc>
          <w:tcPr>
            <w:tcW w:type="dxa" w:w="4968"/>
          </w:tcPr>
          <w:p>
            <w:r>
              <w:rPr>
                <w:b/>
              </w:rPr>
              <w:t>Validated Records</w:t>
            </w:r>
          </w:p>
        </w:tc>
      </w:tr>
      <w:tr>
        <w:tc>
          <w:tcPr>
            <w:tcW w:type="dxa" w:w="4968"/>
            <w:vAlign w:val="center"/>
          </w:tcPr>
          <w:p>
            <w:r>
              <w:t>gold_patient</w:t>
            </w:r>
          </w:p>
        </w:tc>
        <w:tc>
          <w:tcPr>
            <w:tcW w:type="dxa" w:w="4968"/>
            <w:vAlign w:val="center"/>
          </w:tcPr>
          <w:p>
            <w:r>
              <w:t>1,522</w:t>
            </w:r>
          </w:p>
        </w:tc>
      </w:tr>
      <w:tr>
        <w:tc>
          <w:tcPr>
            <w:tcW w:type="dxa" w:w="4968"/>
            <w:vAlign w:val="center"/>
          </w:tcPr>
          <w:p>
            <w:r>
              <w:t>gold_encounter</w:t>
            </w:r>
          </w:p>
        </w:tc>
        <w:tc>
          <w:tcPr>
            <w:tcW w:type="dxa" w:w="4968"/>
            <w:vAlign w:val="center"/>
          </w:tcPr>
          <w:p>
            <w:r>
              <w:t>221</w:t>
            </w:r>
          </w:p>
        </w:tc>
      </w:tr>
      <w:tr>
        <w:tc>
          <w:tcPr>
            <w:tcW w:type="dxa" w:w="4968"/>
            <w:vAlign w:val="center"/>
          </w:tcPr>
          <w:p>
            <w:r>
              <w:t>gold_observation</w:t>
            </w:r>
          </w:p>
        </w:tc>
        <w:tc>
          <w:tcPr>
            <w:tcW w:type="dxa" w:w="4968"/>
            <w:vAlign w:val="center"/>
          </w:tcPr>
          <w:p>
            <w:r>
              <w:t>954</w:t>
            </w:r>
          </w:p>
        </w:tc>
      </w:tr>
      <w:tr>
        <w:tc>
          <w:tcPr>
            <w:tcW w:type="dxa" w:w="4968"/>
            <w:vAlign w:val="center"/>
          </w:tcPr>
          <w:p>
            <w:r>
              <w:t>gold_condition</w:t>
            </w:r>
          </w:p>
        </w:tc>
        <w:tc>
          <w:tcPr>
            <w:tcW w:type="dxa" w:w="4968"/>
            <w:vAlign w:val="center"/>
          </w:tcPr>
          <w:p>
            <w:r>
              <w:t>2,291</w:t>
            </w:r>
          </w:p>
        </w:tc>
      </w:tr>
      <w:tr>
        <w:tc>
          <w:tcPr>
            <w:tcW w:type="dxa" w:w="4968"/>
            <w:vAlign w:val="center"/>
          </w:tcPr>
          <w:p>
            <w:r>
              <w:t>gold_patient_summary</w:t>
            </w:r>
          </w:p>
        </w:tc>
        <w:tc>
          <w:tcPr>
            <w:tcW w:type="dxa" w:w="4968"/>
            <w:vAlign w:val="center"/>
          </w:tcPr>
          <w:p>
            <w:r>
              <w:t>1,522</w:t>
            </w:r>
          </w:p>
        </w:tc>
      </w:tr>
      <w:tr>
        <w:tc>
          <w:tcPr>
            <w:tcW w:type="dxa" w:w="4968"/>
            <w:vAlign w:val="center"/>
          </w:tcPr>
          <w:p>
            <w:r>
              <w:t>gold_clinical_summary</w:t>
            </w:r>
          </w:p>
        </w:tc>
        <w:tc>
          <w:tcPr>
            <w:tcW w:type="dxa" w:w="4968"/>
            <w:vAlign w:val="center"/>
          </w:tcPr>
          <w:p>
            <w:r>
              <w:t>1,522</w:t>
            </w:r>
          </w:p>
        </w:tc>
      </w:tr>
    </w:tbl>
    <w:p/>
    <w:p>
      <w:r>
        <w:t>Analytical views:</w:t>
      </w:r>
    </w:p>
    <w:p>
      <w:pPr>
        <w:pStyle w:val="ListBullet"/>
      </w:pPr>
      <w:r>
        <w:t>vw_patient_analytics</w:t>
      </w:r>
    </w:p>
    <w:p>
      <w:pPr>
        <w:pStyle w:val="ListBullet"/>
      </w:pPr>
      <w:r>
        <w:t>vw_encounter_analytics</w:t>
      </w:r>
    </w:p>
    <w:p>
      <w:pPr>
        <w:pStyle w:val="ListBullet"/>
      </w:pPr>
      <w:r>
        <w:t>vw_observation_analytics</w:t>
      </w:r>
    </w:p>
    <w:p>
      <w:pPr>
        <w:pStyle w:val="ListBullet"/>
      </w:pPr>
      <w:r>
        <w:t>vw_condition_analytics</w:t>
      </w:r>
    </w:p>
    <w:p>
      <w:pPr>
        <w:pStyle w:val="Heading1"/>
      </w:pPr>
      <w:r>
        <w:t>14. Patient and Clinical Analytics</w:t>
      </w:r>
    </w:p>
    <w:p>
      <w:r>
        <w:t>The gold_patient_summary table provides patient-level reporting attributes such as patient_id, patient_gender, patient_age, encounter_count, observation_count, and condition_count. These aggregates support downstream reporting and analysis.</w:t>
      </w:r>
    </w:p>
    <w:p>
      <w:pPr>
        <w:pStyle w:val="Heading1"/>
      </w:pPr>
      <w:r>
        <w:t>15. Table Relationships</w:t>
      </w:r>
    </w:p>
    <w:p>
      <w:r>
        <w:t>FHIR resources are related through the patient identifier. Encounter, Observation, and Condition records reference a Patient. During Silver processing, the Patient/prefix is removed from FHIR references where required so that patient_id can be used consistently.</w:t>
      </w:r>
    </w:p>
    <w:p>
      <w:r>
        <w:t>Relationship model:</w:t>
      </w:r>
    </w:p>
    <w:p>
      <w:pPr>
        <w:pStyle w:val="ListBullet"/>
      </w:pPr>
      <w:r>
        <w:t>silver_patient.patient_id → silver_encounter.patient_id</w:t>
      </w:r>
    </w:p>
    <w:p>
      <w:pPr>
        <w:pStyle w:val="ListBullet"/>
      </w:pPr>
      <w:r>
        <w:t>silver_patient.patient_id → silver_observation.patient_id</w:t>
      </w:r>
    </w:p>
    <w:p>
      <w:pPr>
        <w:pStyle w:val="ListBullet"/>
      </w:pPr>
      <w:r>
        <w:t>silver_patient.patient_id → silver_condition.patient_id</w:t>
      </w:r>
    </w:p>
    <w:p>
      <w:pPr>
        <w:pStyle w:val="Heading1"/>
      </w:pPr>
      <w:r>
        <w:t>16. Metadata and Execution Logging</w:t>
      </w:r>
    </w:p>
    <w:p>
      <w:r>
        <w:t>The pipeline_execution_log Delta table captures operational metadata for each resource execution.</w:t>
      </w:r>
    </w:p>
    <w:p>
      <w:pPr>
        <w:pStyle w:val="ListBullet"/>
      </w:pPr>
      <w:r>
        <w:t>pipeline_name</w:t>
      </w:r>
    </w:p>
    <w:p>
      <w:pPr>
        <w:pStyle w:val="ListBullet"/>
      </w:pPr>
      <w:r>
        <w:t>resource_name</w:t>
      </w:r>
    </w:p>
    <w:p>
      <w:pPr>
        <w:pStyle w:val="ListBullet"/>
      </w:pPr>
      <w:r>
        <w:t>start_time</w:t>
      </w:r>
    </w:p>
    <w:p>
      <w:pPr>
        <w:pStyle w:val="ListBullet"/>
      </w:pPr>
      <w:r>
        <w:t>end_time</w:t>
      </w:r>
    </w:p>
    <w:p>
      <w:pPr>
        <w:pStyle w:val="ListBullet"/>
      </w:pPr>
      <w:r>
        <w:t>records_read</w:t>
      </w:r>
    </w:p>
    <w:p>
      <w:pPr>
        <w:pStyle w:val="ListBullet"/>
      </w:pPr>
      <w:r>
        <w:t>pages_read</w:t>
      </w:r>
    </w:p>
    <w:p>
      <w:pPr>
        <w:pStyle w:val="ListBullet"/>
      </w:pPr>
      <w:r>
        <w:t>records_written</w:t>
      </w:r>
    </w:p>
    <w:p>
      <w:pPr>
        <w:pStyle w:val="ListBullet"/>
      </w:pPr>
      <w:r>
        <w:t>status</w:t>
      </w:r>
    </w:p>
    <w:p>
      <w:pPr>
        <w:pStyle w:val="ListBullet"/>
      </w:pPr>
      <w:r>
        <w:t>api_url_or_params</w:t>
      </w:r>
    </w:p>
    <w:p>
      <w:pPr>
        <w:pStyle w:val="ListBullet"/>
      </w:pPr>
      <w:r>
        <w:t>error_message</w:t>
      </w:r>
    </w:p>
    <w:p>
      <w:pPr>
        <w:pStyle w:val="ListBullet"/>
      </w:pPr>
      <w:r>
        <w:t>ingestion_date</w:t>
      </w:r>
    </w:p>
    <w:p>
      <w:pPr>
        <w:pStyle w:val="ListBullet"/>
      </w:pPr>
      <w:r>
        <w:t>execution_timestamp</w:t>
      </w:r>
    </w:p>
    <w:p>
      <w:r>
        <w:t>This provides traceability for API calls, page counts, record counts, execution duration, and success/failure status.</w:t>
      </w:r>
    </w:p>
    <w:p>
      <w:pPr>
        <w:pStyle w:val="Heading1"/>
      </w:pPr>
      <w:r>
        <w:t>17. Error Handling and Retry</w:t>
      </w:r>
    </w:p>
    <w:p>
      <w:r>
        <w:t>The ingestion process includes API request retry handling. Failed HTTP requests are retried up to three times with a five-second wait between attempts. Request timeout is configured for 60 seconds. Errors are captured and written to the execution log.</w:t>
      </w:r>
    </w:p>
    <w:p>
      <w:pPr>
        <w:pStyle w:val="Heading1"/>
      </w:pPr>
      <w:r>
        <w:t>18. Data Quality Validation</w:t>
      </w:r>
    </w:p>
    <w:p>
      <w:r>
        <w:t>Validation checks implemented across the pipeline include record counts, null business keys, duplicate current records, current versus historical SCD records, resource relationships, and execution status.</w:t>
      </w:r>
    </w:p>
    <w:p>
      <w:r>
        <w:t>The Silver validation run reported no null business keys for Patient, Encounter, Observation, or Condition. The run had no historical records because no source changes were detected.</w:t>
      </w:r>
    </w:p>
    <w:p>
      <w:pPr>
        <w:pStyle w:val="Heading1"/>
      </w:pPr>
      <w:r>
        <w:t>19. Databricks Workflow</w:t>
      </w:r>
    </w:p>
    <w:p>
      <w:r>
        <w:t>The production workflow contains three dependent notebook tasks:</w:t>
      </w:r>
    </w:p>
    <w:p>
      <w:pPr>
        <w:pStyle w:val="ListBullet"/>
      </w:pPr>
      <w:r>
        <w:t>FHIR_INGESTION → NB_FHIR_INGESTION</w:t>
      </w:r>
    </w:p>
    <w:p>
      <w:pPr>
        <w:pStyle w:val="ListBullet"/>
      </w:pPr>
      <w:r>
        <w:t>BRONZE_TO_SILVER → NB_BRONZE_TO_SILVER</w:t>
      </w:r>
    </w:p>
    <w:p>
      <w:pPr>
        <w:pStyle w:val="ListBullet"/>
      </w:pPr>
      <w:r>
        <w:t>SILVER_TO_GOLD → NB_SILVER_TO_GOLD</w:t>
      </w:r>
    </w:p>
    <w:p>
      <w:r>
        <w:t>Execution order is strictly controlled through task dependencies:</w:t>
      </w:r>
    </w:p>
    <w:p>
      <w:r>
        <w:t>FHIR_INGESTION  →  BRONZE_TO_SILVER  →  SILVER_TO_GOLD</w:t>
      </w:r>
    </w:p>
    <w:p>
      <w:r>
        <w:t>The completed Workflow run successfully executed all three tasks.</w:t>
      </w:r>
    </w:p>
    <w:p>
      <w:pPr>
        <w:pStyle w:val="Heading1"/>
      </w:pPr>
      <w:r>
        <w:t>20. Notebook Structure</w:t>
      </w:r>
    </w:p>
    <w:p>
      <w:pPr>
        <w:pStyle w:val="ListBullet"/>
      </w:pPr>
      <w:r>
        <w:t>NB_FHIR_INGESTION</w:t>
      </w:r>
    </w:p>
    <w:p>
      <w:pPr>
        <w:pStyle w:val="ListBullet"/>
      </w:pPr>
      <w:r>
        <w:t>NB_BRONZE_TO_SILVER</w:t>
      </w:r>
    </w:p>
    <w:p>
      <w:pPr>
        <w:pStyle w:val="ListBullet"/>
      </w:pPr>
      <w:r>
        <w:t>NB_SILVER_TO_GOLD</w:t>
      </w:r>
    </w:p>
    <w:p>
      <w:pPr>
        <w:pStyle w:val="ListBullet"/>
      </w:pPr>
      <w:r>
        <w:t>NB_FHIR_MASTER_ORCHESTRATOR</w:t>
      </w:r>
    </w:p>
    <w:p>
      <w:r>
        <w:t>The first three notebooks are the tasks used by the final Databricks Workflow. The Master Orchestrator notebook is retained as part of the project but is not used as a separate Workflow task.</w:t>
      </w:r>
    </w:p>
    <w:p>
      <w:pPr>
        <w:pStyle w:val="Heading1"/>
      </w:pPr>
      <w:r>
        <w:t>21. Dataflow Gen2</w:t>
      </w:r>
    </w:p>
    <w:p>
      <w:r>
        <w:t>Dataflow Gen2 was not used in this Databricks implementation. JSON parsing and transformations are performed using PySpark. The processing pattern is Raw JSON → Bronze Delta → Silver → Gold.</w:t>
      </w:r>
    </w:p>
    <w:p>
      <w:pPr>
        <w:pStyle w:val="Heading1"/>
      </w:pPr>
      <w:r>
        <w:t>22. Reusability and Parameterization</w:t>
      </w:r>
    </w:p>
    <w:p>
      <w:r>
        <w:t>The ingestion implementation uses configurable parameters such as BASE_URL, RESOURCES, PAGE_SIZE, LOOKBACK_DAYS, REQUEST_TIMEOUT, MAX_RETRIES, and RAW_BASE_PATH. Functions are reused across the four FHIR resource types to avoid separate hardcoded ingestion logic.</w:t>
      </w:r>
    </w:p>
    <w:p>
      <w:pPr>
        <w:pStyle w:val="Heading1"/>
      </w:pPr>
      <w:r>
        <w:t>23. Security</w:t>
      </w:r>
    </w:p>
    <w:p>
      <w:r>
        <w:t>The source API used for this assignment is public and does not require credentials. No API secrets are hardcoded in the notebooks. For a production implementation, credentials and secrets should be stored in a secure secret-management solution.</w:t>
      </w:r>
    </w:p>
    <w:p>
      <w:pPr>
        <w:pStyle w:val="Heading1"/>
      </w:pPr>
      <w:r>
        <w:t>24. Optional Extensions</w:t>
      </w:r>
    </w:p>
    <w:p>
      <w:r>
        <w:t>The assignment lists XML ingestion and a one-page Power BI report using the Gold layer as optional extensions. They are not required for the core implementation.</w:t>
      </w:r>
    </w:p>
    <w:p>
      <w:pPr>
        <w:pStyle w:val="Heading1"/>
      </w:pPr>
      <w:r>
        <w:t>25. Final Validation Summary</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Layer / Component</w:t>
            </w:r>
          </w:p>
        </w:tc>
        <w:tc>
          <w:tcPr>
            <w:tcW w:type="dxa" w:w="4968"/>
          </w:tcPr>
          <w:p>
            <w:r>
              <w:rPr>
                <w:b/>
              </w:rPr>
              <w:t>Status</w:t>
            </w:r>
          </w:p>
        </w:tc>
      </w:tr>
      <w:tr>
        <w:tc>
          <w:tcPr>
            <w:tcW w:type="dxa" w:w="4968"/>
            <w:vAlign w:val="center"/>
          </w:tcPr>
          <w:p>
            <w:r>
              <w:t>Raw JSON ingestion</w:t>
            </w:r>
          </w:p>
        </w:tc>
        <w:tc>
          <w:tcPr>
            <w:tcW w:type="dxa" w:w="4968"/>
            <w:vAlign w:val="center"/>
          </w:tcPr>
          <w:p>
            <w:r>
              <w:t>Completed</w:t>
            </w:r>
          </w:p>
        </w:tc>
      </w:tr>
      <w:tr>
        <w:tc>
          <w:tcPr>
            <w:tcW w:type="dxa" w:w="4968"/>
            <w:vAlign w:val="center"/>
          </w:tcPr>
          <w:p>
            <w:r>
              <w:t>API pagination</w:t>
            </w:r>
          </w:p>
        </w:tc>
        <w:tc>
          <w:tcPr>
            <w:tcW w:type="dxa" w:w="4968"/>
            <w:vAlign w:val="center"/>
          </w:tcPr>
          <w:p>
            <w:r>
              <w:t>Completed</w:t>
            </w:r>
          </w:p>
        </w:tc>
      </w:tr>
      <w:tr>
        <w:tc>
          <w:tcPr>
            <w:tcW w:type="dxa" w:w="4968"/>
            <w:vAlign w:val="center"/>
          </w:tcPr>
          <w:p>
            <w:r>
              <w:t>Incremental extraction</w:t>
            </w:r>
          </w:p>
        </w:tc>
        <w:tc>
          <w:tcPr>
            <w:tcW w:type="dxa" w:w="4968"/>
            <w:vAlign w:val="center"/>
          </w:tcPr>
          <w:p>
            <w:r>
              <w:t>Completed</w:t>
            </w:r>
          </w:p>
        </w:tc>
      </w:tr>
      <w:tr>
        <w:tc>
          <w:tcPr>
            <w:tcW w:type="dxa" w:w="4968"/>
            <w:vAlign w:val="center"/>
          </w:tcPr>
          <w:p>
            <w:r>
              <w:t>Bronze Delta tables</w:t>
            </w:r>
          </w:p>
        </w:tc>
        <w:tc>
          <w:tcPr>
            <w:tcW w:type="dxa" w:w="4968"/>
            <w:vAlign w:val="center"/>
          </w:tcPr>
          <w:p>
            <w:r>
              <w:t>Completed</w:t>
            </w:r>
          </w:p>
        </w:tc>
      </w:tr>
      <w:tr>
        <w:tc>
          <w:tcPr>
            <w:tcW w:type="dxa" w:w="4968"/>
            <w:vAlign w:val="center"/>
          </w:tcPr>
          <w:p>
            <w:r>
              <w:t>Silver cleansing/deduplication</w:t>
            </w:r>
          </w:p>
        </w:tc>
        <w:tc>
          <w:tcPr>
            <w:tcW w:type="dxa" w:w="4968"/>
            <w:vAlign w:val="center"/>
          </w:tcPr>
          <w:p>
            <w:r>
              <w:t>Completed</w:t>
            </w:r>
          </w:p>
        </w:tc>
      </w:tr>
      <w:tr>
        <w:tc>
          <w:tcPr>
            <w:tcW w:type="dxa" w:w="4968"/>
            <w:vAlign w:val="center"/>
          </w:tcPr>
          <w:p>
            <w:r>
              <w:t>SCD Type 2 logic</w:t>
            </w:r>
          </w:p>
        </w:tc>
        <w:tc>
          <w:tcPr>
            <w:tcW w:type="dxa" w:w="4968"/>
            <w:vAlign w:val="center"/>
          </w:tcPr>
          <w:p>
            <w:r>
              <w:t>Implemented and validated</w:t>
            </w:r>
          </w:p>
        </w:tc>
      </w:tr>
      <w:tr>
        <w:tc>
          <w:tcPr>
            <w:tcW w:type="dxa" w:w="4968"/>
            <w:vAlign w:val="center"/>
          </w:tcPr>
          <w:p>
            <w:r>
              <w:t>Gold analytical tables</w:t>
            </w:r>
          </w:p>
        </w:tc>
        <w:tc>
          <w:tcPr>
            <w:tcW w:type="dxa" w:w="4968"/>
            <w:vAlign w:val="center"/>
          </w:tcPr>
          <w:p>
            <w:r>
              <w:t>Completed</w:t>
            </w:r>
          </w:p>
        </w:tc>
      </w:tr>
      <w:tr>
        <w:tc>
          <w:tcPr>
            <w:tcW w:type="dxa" w:w="4968"/>
            <w:vAlign w:val="center"/>
          </w:tcPr>
          <w:p>
            <w:r>
              <w:t>Metadata logging</w:t>
            </w:r>
          </w:p>
        </w:tc>
        <w:tc>
          <w:tcPr>
            <w:tcW w:type="dxa" w:w="4968"/>
            <w:vAlign w:val="center"/>
          </w:tcPr>
          <w:p>
            <w:r>
              <w:t>Completed</w:t>
            </w:r>
          </w:p>
        </w:tc>
      </w:tr>
      <w:tr>
        <w:tc>
          <w:tcPr>
            <w:tcW w:type="dxa" w:w="4968"/>
            <w:vAlign w:val="center"/>
          </w:tcPr>
          <w:p>
            <w:r>
              <w:t>Data-quality validation</w:t>
            </w:r>
          </w:p>
        </w:tc>
        <w:tc>
          <w:tcPr>
            <w:tcW w:type="dxa" w:w="4968"/>
            <w:vAlign w:val="center"/>
          </w:tcPr>
          <w:p>
            <w:r>
              <w:t>Completed</w:t>
            </w:r>
          </w:p>
        </w:tc>
      </w:tr>
      <w:tr>
        <w:tc>
          <w:tcPr>
            <w:tcW w:type="dxa" w:w="4968"/>
            <w:vAlign w:val="center"/>
          </w:tcPr>
          <w:p>
            <w:r>
              <w:t>Databricks Workflow</w:t>
            </w:r>
          </w:p>
        </w:tc>
        <w:tc>
          <w:tcPr>
            <w:tcW w:type="dxa" w:w="4968"/>
            <w:vAlign w:val="center"/>
          </w:tcPr>
          <w:p>
            <w:r>
              <w:t>Completed successfully</w:t>
            </w:r>
          </w:p>
        </w:tc>
      </w:tr>
    </w:tbl>
    <w:p/>
    <w:p>
      <w:pPr>
        <w:pStyle w:val="Heading1"/>
      </w:pPr>
      <w:r>
        <w:t>26. Submission Package</w:t>
      </w:r>
    </w:p>
    <w:p>
      <w:r>
        <w:t>The assignment requires submission through a Git repository or ZIP file containing all code, notebooks, pipeline setup, and clear documentation of the pipeline and table relationships.</w:t>
      </w:r>
    </w:p>
    <w:p>
      <w:r>
        <w:t>Recommended repository structure:</w:t>
      </w:r>
    </w:p>
    <w:p>
      <w:pPr>
        <w:pStyle w:val="ListBullet"/>
      </w:pPr>
      <w:r>
        <w:t>README.md</w:t>
      </w:r>
    </w:p>
    <w:p>
      <w:pPr>
        <w:pStyle w:val="ListBullet"/>
      </w:pPr>
      <w:r>
        <w:t>notebooks/NB_FHIR_INGESTION</w:t>
      </w:r>
    </w:p>
    <w:p>
      <w:pPr>
        <w:pStyle w:val="ListBullet"/>
      </w:pPr>
      <w:r>
        <w:t>notebooks/NB_BRONZE_TO_SILVER</w:t>
      </w:r>
    </w:p>
    <w:p>
      <w:pPr>
        <w:pStyle w:val="ListBullet"/>
      </w:pPr>
      <w:r>
        <w:t>notebooks/NB_SILVER_TO_GOLD</w:t>
      </w:r>
    </w:p>
    <w:p>
      <w:pPr>
        <w:pStyle w:val="ListBullet"/>
      </w:pPr>
      <w:r>
        <w:t>notebooks/NB_FHIR_MASTER_ORCHESTRATOR</w:t>
      </w:r>
    </w:p>
    <w:p>
      <w:pPr>
        <w:pStyle w:val="ListBullet"/>
      </w:pPr>
      <w:r>
        <w:t>documentation/architecture.md</w:t>
      </w:r>
    </w:p>
    <w:p>
      <w:pPr>
        <w:pStyle w:val="ListBullet"/>
      </w:pPr>
      <w:r>
        <w:t>documentation/data_dictionary.md</w:t>
      </w:r>
    </w:p>
    <w:p>
      <w:pPr>
        <w:pStyle w:val="ListBullet"/>
      </w:pPr>
      <w:r>
        <w:t>screenshots/validation and workflow screenshots</w:t>
      </w:r>
    </w:p>
    <w:p>
      <w:pPr>
        <w:pStyle w:val="Heading1"/>
      </w:pPr>
      <w:r>
        <w:t>27. Conclusion</w:t>
      </w:r>
    </w:p>
    <w:p>
      <w:r>
        <w:t>The completed solution provides an end-to-end FHIR healthcare data pipeline using Databricks and PySpark. It demonstrates incremental extraction, pagination, raw response preservation, Medallion Architecture, Delta processing, cleansing, deduplication, SCD Type 2 versioning, metadata logging, data-quality validation, and Workflow orchestration.</w:t>
      </w:r>
    </w:p>
    <w:p>
      <w:r>
        <w:t>The latest execution successfully populated the Raw, Bronze, Silver, and Gold layers and the final Databricks Workflow completed successfully.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FHIR API Data Ingestion &amp; Analytics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