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92ADD" w14:textId="77777777" w:rsidR="00743329" w:rsidRDefault="00743329">
      <w:pPr>
        <w:spacing w:after="91"/>
        <w:jc w:val="center"/>
        <w:rPr>
          <w:b/>
          <w:color w:val="2F5D50"/>
          <w:sz w:val="96"/>
          <w:szCs w:val="96"/>
        </w:rPr>
      </w:pPr>
    </w:p>
    <w:p w14:paraId="35CF4AE9" w14:textId="72385BDD" w:rsidR="00634E30" w:rsidRDefault="00000000">
      <w:pPr>
        <w:spacing w:after="91"/>
        <w:jc w:val="center"/>
        <w:rPr>
          <w:b/>
          <w:color w:val="2F5D50"/>
          <w:sz w:val="96"/>
          <w:szCs w:val="96"/>
        </w:rPr>
      </w:pPr>
      <w:r w:rsidRPr="0015115D">
        <w:rPr>
          <w:b/>
          <w:color w:val="2F5D50"/>
          <w:sz w:val="96"/>
          <w:szCs w:val="96"/>
        </w:rPr>
        <w:t>EcoManufacture Ltd.</w:t>
      </w:r>
    </w:p>
    <w:p w14:paraId="6C79910D" w14:textId="77777777" w:rsidR="00634E30" w:rsidRPr="00827CDD" w:rsidRDefault="00000000" w:rsidP="00827CDD">
      <w:pPr>
        <w:spacing w:after="68"/>
        <w:rPr>
          <w:b/>
          <w:color w:val="2F5D50"/>
          <w:sz w:val="52"/>
          <w:szCs w:val="52"/>
          <w:u w:val="single"/>
        </w:rPr>
      </w:pPr>
      <w:r w:rsidRPr="00827CDD">
        <w:rPr>
          <w:b/>
          <w:color w:val="2F5D50"/>
          <w:sz w:val="52"/>
          <w:szCs w:val="52"/>
          <w:u w:val="single"/>
        </w:rPr>
        <w:t>ESG &amp; Sustainability Performance Report</w:t>
      </w:r>
    </w:p>
    <w:p w14:paraId="19559746" w14:textId="77777777" w:rsidR="0015115D" w:rsidRPr="0015115D" w:rsidRDefault="0015115D">
      <w:pPr>
        <w:spacing w:after="68"/>
        <w:jc w:val="center"/>
        <w:rPr>
          <w:b/>
          <w:color w:val="2F5D50"/>
          <w:sz w:val="52"/>
          <w:szCs w:val="52"/>
        </w:rPr>
      </w:pPr>
    </w:p>
    <w:p w14:paraId="0EBE99B6" w14:textId="77777777" w:rsidR="00634E30" w:rsidRDefault="00000000">
      <w:pPr>
        <w:spacing w:after="142"/>
        <w:jc w:val="center"/>
        <w:rPr>
          <w:color w:val="2F5D50"/>
          <w:sz w:val="30"/>
        </w:rPr>
      </w:pPr>
      <w:r>
        <w:rPr>
          <w:color w:val="2F5D50"/>
          <w:sz w:val="30"/>
        </w:rPr>
        <w:t>Reporting Period: 2021–2025</w:t>
      </w:r>
    </w:p>
    <w:p w14:paraId="411B8381" w14:textId="77777777" w:rsidR="00634E30" w:rsidRDefault="00000000">
      <w:pPr>
        <w:spacing w:after="170"/>
        <w:jc w:val="center"/>
        <w:rPr>
          <w:color w:val="2F5D50"/>
          <w:sz w:val="22"/>
        </w:rPr>
      </w:pPr>
      <w:r>
        <w:rPr>
          <w:color w:val="2F5D50"/>
          <w:sz w:val="22"/>
        </w:rPr>
        <w:t>Portfolio / Academic Demonstration</w:t>
      </w:r>
    </w:p>
    <w:p w14:paraId="222E0C29" w14:textId="77777777" w:rsidR="0015115D" w:rsidRDefault="0015115D">
      <w:pPr>
        <w:spacing w:after="170"/>
        <w:jc w:val="center"/>
        <w:rPr>
          <w:color w:val="2F5D50"/>
          <w:sz w:val="22"/>
        </w:rPr>
      </w:pPr>
    </w:p>
    <w:p w14:paraId="5790C208" w14:textId="77777777" w:rsidR="00634E30" w:rsidRDefault="00000000">
      <w:pPr>
        <w:spacing w:after="45"/>
        <w:jc w:val="center"/>
        <w:rPr>
          <w:b/>
          <w:color w:val="2F5D50"/>
          <w:sz w:val="22"/>
        </w:rPr>
      </w:pPr>
      <w:r>
        <w:rPr>
          <w:b/>
          <w:color w:val="2F5D50"/>
          <w:sz w:val="22"/>
        </w:rPr>
        <w:t>IMPORTANT DISCLOSURE</w:t>
      </w:r>
    </w:p>
    <w:p w14:paraId="67708266" w14:textId="77777777" w:rsidR="00634E30" w:rsidRDefault="00000000">
      <w:pPr>
        <w:spacing w:after="113"/>
        <w:jc w:val="center"/>
        <w:rPr>
          <w:color w:val="2F5D50"/>
          <w:sz w:val="20"/>
        </w:rPr>
      </w:pPr>
      <w:r>
        <w:rPr>
          <w:color w:val="2F5D50"/>
          <w:sz w:val="20"/>
        </w:rPr>
        <w:t>EcoManufacture Ltd. is a fictional company created for portfolio and academic learning purposes. All operational, environmental, social and governance data in this report are simulated. This report demonstrates ESG analysis and reporting techniques and is not an actual corporate disclosure.</w:t>
      </w:r>
    </w:p>
    <w:p w14:paraId="6247668F" w14:textId="77777777" w:rsidR="00634E30" w:rsidRDefault="00000000">
      <w:pPr>
        <w:spacing w:after="113"/>
        <w:jc w:val="center"/>
        <w:rPr>
          <w:b/>
          <w:color w:val="2F5D50"/>
          <w:sz w:val="20"/>
        </w:rPr>
      </w:pPr>
      <w:r>
        <w:rPr>
          <w:b/>
          <w:color w:val="2F5D50"/>
          <w:sz w:val="20"/>
        </w:rPr>
        <w:t>Prepared using Power BI, Excel and ESG analytics</w:t>
      </w:r>
      <w:r>
        <w:br w:type="page"/>
      </w:r>
    </w:p>
    <w:p w14:paraId="68365E2E" w14:textId="77777777" w:rsidR="00634E30" w:rsidRDefault="00634E30">
      <w:pPr>
        <w:spacing w:after="113"/>
        <w:jc w:val="center"/>
        <w:rPr>
          <w:b/>
          <w:color w:val="2F5D50"/>
          <w:sz w:val="20"/>
        </w:rPr>
      </w:pPr>
    </w:p>
    <w:p w14:paraId="08C7E993" w14:textId="77777777" w:rsidR="00634E30" w:rsidRDefault="00000000">
      <w:pPr>
        <w:spacing w:after="102"/>
        <w:jc w:val="center"/>
        <w:rPr>
          <w:b/>
          <w:color w:val="2F5D50"/>
          <w:sz w:val="40"/>
        </w:rPr>
      </w:pPr>
      <w:r>
        <w:rPr>
          <w:b/>
          <w:color w:val="2F5D50"/>
          <w:sz w:val="40"/>
        </w:rPr>
        <w:t>Report at a Glance</w:t>
      </w:r>
    </w:p>
    <w:p w14:paraId="78585E3A" w14:textId="77777777" w:rsidR="00634E30" w:rsidRDefault="00000000">
      <w:pPr>
        <w:spacing w:after="68"/>
        <w:jc w:val="center"/>
        <w:rPr>
          <w:color w:val="2F5D50"/>
          <w:sz w:val="20"/>
        </w:rPr>
      </w:pPr>
      <w:r>
        <w:rPr>
          <w:color w:val="2F5D50"/>
          <w:sz w:val="20"/>
        </w:rPr>
        <w:t>This report summarizes EcoManufacture Ltd.'s simulated ESG performance across five reporting years and translates the analysis into management-oriented findings, target status and improvement priorities.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84"/>
        <w:gridCol w:w="3286"/>
        <w:gridCol w:w="3286"/>
      </w:tblGrid>
      <w:tr w:rsidR="00634E30" w14:paraId="61DE7A24" w14:textId="77777777">
        <w:tc>
          <w:tcPr>
            <w:tcW w:w="3288" w:type="dxa"/>
            <w:tcBorders>
              <w:top w:val="single" w:sz="4" w:space="0" w:color="000000"/>
              <w:left w:val="single" w:sz="4" w:space="0" w:color="000000"/>
              <w:bottom w:val="single" w:sz="4" w:space="0" w:color="000000"/>
            </w:tcBorders>
            <w:shd w:val="clear" w:color="auto" w:fill="2F5D50"/>
          </w:tcPr>
          <w:p w14:paraId="7123CF41" w14:textId="77777777" w:rsidR="00634E30" w:rsidRDefault="00000000">
            <w:pPr>
              <w:pStyle w:val="TableHeading"/>
            </w:pPr>
            <w:r>
              <w:t>Indicator</w:t>
            </w:r>
          </w:p>
        </w:tc>
        <w:tc>
          <w:tcPr>
            <w:tcW w:w="3289" w:type="dxa"/>
            <w:tcBorders>
              <w:top w:val="single" w:sz="4" w:space="0" w:color="000000"/>
              <w:left w:val="single" w:sz="4" w:space="0" w:color="000000"/>
              <w:bottom w:val="single" w:sz="4" w:space="0" w:color="000000"/>
            </w:tcBorders>
            <w:shd w:val="clear" w:color="auto" w:fill="2F5D50"/>
          </w:tcPr>
          <w:p w14:paraId="05D2D7F1" w14:textId="77777777" w:rsidR="00634E30" w:rsidRDefault="00000000">
            <w:pPr>
              <w:pStyle w:val="TableHeading"/>
            </w:pPr>
            <w:r>
              <w:t>2025 result</w:t>
            </w:r>
          </w:p>
        </w:tc>
        <w:tc>
          <w:tcPr>
            <w:tcW w:w="3289" w:type="dxa"/>
            <w:tcBorders>
              <w:top w:val="single" w:sz="4" w:space="0" w:color="000000"/>
              <w:left w:val="single" w:sz="4" w:space="0" w:color="000000"/>
              <w:bottom w:val="single" w:sz="4" w:space="0" w:color="000000"/>
              <w:right w:val="single" w:sz="4" w:space="0" w:color="000000"/>
            </w:tcBorders>
            <w:shd w:val="clear" w:color="auto" w:fill="2F5D50"/>
          </w:tcPr>
          <w:p w14:paraId="04B2FE9D" w14:textId="77777777" w:rsidR="00634E30" w:rsidRDefault="00000000">
            <w:pPr>
              <w:pStyle w:val="TableHeading"/>
            </w:pPr>
            <w:r>
              <w:t>Interpretation</w:t>
            </w:r>
          </w:p>
        </w:tc>
      </w:tr>
      <w:tr w:rsidR="00634E30" w14:paraId="73286C48" w14:textId="77777777">
        <w:tc>
          <w:tcPr>
            <w:tcW w:w="3288" w:type="dxa"/>
            <w:tcBorders>
              <w:left w:val="single" w:sz="4" w:space="0" w:color="000000"/>
              <w:bottom w:val="single" w:sz="4" w:space="0" w:color="000000"/>
            </w:tcBorders>
          </w:tcPr>
          <w:p w14:paraId="2F009E41" w14:textId="77777777" w:rsidR="00634E30" w:rsidRDefault="00000000">
            <w:pPr>
              <w:pStyle w:val="TableContents"/>
            </w:pPr>
            <w:r>
              <w:t>Scope 1+2 emissions</w:t>
            </w:r>
          </w:p>
        </w:tc>
        <w:tc>
          <w:tcPr>
            <w:tcW w:w="3289" w:type="dxa"/>
            <w:tcBorders>
              <w:left w:val="single" w:sz="4" w:space="0" w:color="000000"/>
              <w:bottom w:val="single" w:sz="4" w:space="0" w:color="000000"/>
            </w:tcBorders>
          </w:tcPr>
          <w:p w14:paraId="45C40206" w14:textId="77777777" w:rsidR="00634E30" w:rsidRDefault="00000000">
            <w:pPr>
              <w:pStyle w:val="TableContents"/>
            </w:pPr>
            <w:r>
              <w:t>32,704 tCO2e</w:t>
            </w:r>
          </w:p>
        </w:tc>
        <w:tc>
          <w:tcPr>
            <w:tcW w:w="3289" w:type="dxa"/>
            <w:tcBorders>
              <w:left w:val="single" w:sz="4" w:space="0" w:color="000000"/>
              <w:bottom w:val="single" w:sz="4" w:space="0" w:color="000000"/>
              <w:right w:val="single" w:sz="4" w:space="0" w:color="000000"/>
            </w:tcBorders>
          </w:tcPr>
          <w:p w14:paraId="0B8E74ED" w14:textId="77777777" w:rsidR="00634E30" w:rsidRDefault="00000000">
            <w:pPr>
              <w:pStyle w:val="TableContents"/>
            </w:pPr>
            <w:r>
              <w:t>9.0% below 2021</w:t>
            </w:r>
          </w:p>
        </w:tc>
      </w:tr>
      <w:tr w:rsidR="00634E30" w14:paraId="19641BC2" w14:textId="77777777">
        <w:tc>
          <w:tcPr>
            <w:tcW w:w="3288" w:type="dxa"/>
            <w:tcBorders>
              <w:left w:val="single" w:sz="4" w:space="0" w:color="000000"/>
              <w:bottom w:val="single" w:sz="4" w:space="0" w:color="000000"/>
            </w:tcBorders>
          </w:tcPr>
          <w:p w14:paraId="70CEEB3B" w14:textId="77777777" w:rsidR="00634E30" w:rsidRDefault="00000000">
            <w:pPr>
              <w:pStyle w:val="TableContents"/>
            </w:pPr>
            <w:r>
              <w:t>Renewable energy</w:t>
            </w:r>
          </w:p>
        </w:tc>
        <w:tc>
          <w:tcPr>
            <w:tcW w:w="3289" w:type="dxa"/>
            <w:tcBorders>
              <w:left w:val="single" w:sz="4" w:space="0" w:color="000000"/>
              <w:bottom w:val="single" w:sz="4" w:space="0" w:color="000000"/>
            </w:tcBorders>
          </w:tcPr>
          <w:p w14:paraId="4D2337FC" w14:textId="77777777" w:rsidR="00634E30" w:rsidRDefault="00000000">
            <w:pPr>
              <w:pStyle w:val="TableContents"/>
            </w:pPr>
            <w:r>
              <w:t>43.9%</w:t>
            </w:r>
          </w:p>
        </w:tc>
        <w:tc>
          <w:tcPr>
            <w:tcW w:w="3289" w:type="dxa"/>
            <w:tcBorders>
              <w:left w:val="single" w:sz="4" w:space="0" w:color="000000"/>
              <w:bottom w:val="single" w:sz="4" w:space="0" w:color="000000"/>
              <w:right w:val="single" w:sz="4" w:space="0" w:color="000000"/>
            </w:tcBorders>
          </w:tcPr>
          <w:p w14:paraId="5B279AA2" w14:textId="77777777" w:rsidR="00634E30" w:rsidRDefault="00000000">
            <w:pPr>
              <w:pStyle w:val="TableContents"/>
            </w:pPr>
            <w:r>
              <w:t>Close to 45% target</w:t>
            </w:r>
          </w:p>
        </w:tc>
      </w:tr>
      <w:tr w:rsidR="00634E30" w14:paraId="073293DB" w14:textId="77777777">
        <w:tc>
          <w:tcPr>
            <w:tcW w:w="3288" w:type="dxa"/>
            <w:tcBorders>
              <w:left w:val="single" w:sz="4" w:space="0" w:color="000000"/>
              <w:bottom w:val="single" w:sz="4" w:space="0" w:color="000000"/>
            </w:tcBorders>
          </w:tcPr>
          <w:p w14:paraId="3089B253" w14:textId="77777777" w:rsidR="00634E30" w:rsidRDefault="00000000">
            <w:pPr>
              <w:pStyle w:val="TableContents"/>
            </w:pPr>
            <w:r>
              <w:t>Waste recycling</w:t>
            </w:r>
          </w:p>
        </w:tc>
        <w:tc>
          <w:tcPr>
            <w:tcW w:w="3289" w:type="dxa"/>
            <w:tcBorders>
              <w:left w:val="single" w:sz="4" w:space="0" w:color="000000"/>
              <w:bottom w:val="single" w:sz="4" w:space="0" w:color="000000"/>
            </w:tcBorders>
          </w:tcPr>
          <w:p w14:paraId="2D8AF39E" w14:textId="77777777" w:rsidR="00634E30" w:rsidRDefault="00000000">
            <w:pPr>
              <w:pStyle w:val="TableContents"/>
            </w:pPr>
            <w:r>
              <w:t>83.4%</w:t>
            </w:r>
          </w:p>
        </w:tc>
        <w:tc>
          <w:tcPr>
            <w:tcW w:w="3289" w:type="dxa"/>
            <w:tcBorders>
              <w:left w:val="single" w:sz="4" w:space="0" w:color="000000"/>
              <w:bottom w:val="single" w:sz="4" w:space="0" w:color="000000"/>
              <w:right w:val="single" w:sz="4" w:space="0" w:color="000000"/>
            </w:tcBorders>
          </w:tcPr>
          <w:p w14:paraId="46B0C998" w14:textId="77777777" w:rsidR="00634E30" w:rsidRDefault="00000000">
            <w:pPr>
              <w:pStyle w:val="TableContents"/>
            </w:pPr>
            <w:r>
              <w:t>Close to 85% target</w:t>
            </w:r>
          </w:p>
        </w:tc>
      </w:tr>
      <w:tr w:rsidR="00634E30" w14:paraId="48317B47" w14:textId="77777777">
        <w:tc>
          <w:tcPr>
            <w:tcW w:w="3288" w:type="dxa"/>
            <w:tcBorders>
              <w:left w:val="single" w:sz="4" w:space="0" w:color="000000"/>
              <w:bottom w:val="single" w:sz="4" w:space="0" w:color="000000"/>
            </w:tcBorders>
          </w:tcPr>
          <w:p w14:paraId="3A5EDE8C" w14:textId="77777777" w:rsidR="00634E30" w:rsidRDefault="00000000">
            <w:pPr>
              <w:pStyle w:val="TableContents"/>
            </w:pPr>
            <w:r>
              <w:t>Female workforce</w:t>
            </w:r>
          </w:p>
        </w:tc>
        <w:tc>
          <w:tcPr>
            <w:tcW w:w="3289" w:type="dxa"/>
            <w:tcBorders>
              <w:left w:val="single" w:sz="4" w:space="0" w:color="000000"/>
              <w:bottom w:val="single" w:sz="4" w:space="0" w:color="000000"/>
            </w:tcBorders>
          </w:tcPr>
          <w:p w14:paraId="648C7E38" w14:textId="77777777" w:rsidR="00634E30" w:rsidRDefault="00000000">
            <w:pPr>
              <w:pStyle w:val="TableContents"/>
            </w:pPr>
            <w:r>
              <w:t>34.6%</w:t>
            </w:r>
          </w:p>
        </w:tc>
        <w:tc>
          <w:tcPr>
            <w:tcW w:w="3289" w:type="dxa"/>
            <w:tcBorders>
              <w:left w:val="single" w:sz="4" w:space="0" w:color="000000"/>
              <w:bottom w:val="single" w:sz="4" w:space="0" w:color="000000"/>
              <w:right w:val="single" w:sz="4" w:space="0" w:color="000000"/>
            </w:tcBorders>
          </w:tcPr>
          <w:p w14:paraId="7CD3109E" w14:textId="77777777" w:rsidR="00634E30" w:rsidRDefault="00000000">
            <w:pPr>
              <w:pStyle w:val="TableContents"/>
            </w:pPr>
            <w:r>
              <w:t>Close to 35% target</w:t>
            </w:r>
          </w:p>
        </w:tc>
      </w:tr>
      <w:tr w:rsidR="00634E30" w14:paraId="1D0ABB10" w14:textId="77777777">
        <w:tc>
          <w:tcPr>
            <w:tcW w:w="3288" w:type="dxa"/>
            <w:tcBorders>
              <w:left w:val="single" w:sz="4" w:space="0" w:color="000000"/>
              <w:bottom w:val="single" w:sz="4" w:space="0" w:color="000000"/>
            </w:tcBorders>
          </w:tcPr>
          <w:p w14:paraId="2D5332A1" w14:textId="77777777" w:rsidR="00634E30" w:rsidRDefault="00000000">
            <w:pPr>
              <w:pStyle w:val="TableContents"/>
            </w:pPr>
            <w:r>
              <w:t>Employee turnover</w:t>
            </w:r>
          </w:p>
        </w:tc>
        <w:tc>
          <w:tcPr>
            <w:tcW w:w="3289" w:type="dxa"/>
            <w:tcBorders>
              <w:left w:val="single" w:sz="4" w:space="0" w:color="000000"/>
              <w:bottom w:val="single" w:sz="4" w:space="0" w:color="000000"/>
            </w:tcBorders>
          </w:tcPr>
          <w:p w14:paraId="6BCA0A2D" w14:textId="77777777" w:rsidR="00634E30" w:rsidRDefault="00000000">
            <w:pPr>
              <w:pStyle w:val="TableContents"/>
            </w:pPr>
            <w:r>
              <w:t>9.4%</w:t>
            </w:r>
          </w:p>
        </w:tc>
        <w:tc>
          <w:tcPr>
            <w:tcW w:w="3289" w:type="dxa"/>
            <w:tcBorders>
              <w:left w:val="single" w:sz="4" w:space="0" w:color="000000"/>
              <w:bottom w:val="single" w:sz="4" w:space="0" w:color="000000"/>
              <w:right w:val="single" w:sz="4" w:space="0" w:color="000000"/>
            </w:tcBorders>
          </w:tcPr>
          <w:p w14:paraId="40F54953" w14:textId="77777777" w:rsidR="00634E30" w:rsidRDefault="00000000">
            <w:pPr>
              <w:pStyle w:val="TableContents"/>
            </w:pPr>
            <w:r>
              <w:t>Above &lt;9% target</w:t>
            </w:r>
          </w:p>
        </w:tc>
      </w:tr>
      <w:tr w:rsidR="00634E30" w14:paraId="7B0FB60F" w14:textId="77777777">
        <w:tc>
          <w:tcPr>
            <w:tcW w:w="3288" w:type="dxa"/>
            <w:tcBorders>
              <w:left w:val="single" w:sz="4" w:space="0" w:color="000000"/>
              <w:bottom w:val="single" w:sz="4" w:space="0" w:color="000000"/>
            </w:tcBorders>
          </w:tcPr>
          <w:p w14:paraId="3FB71A59" w14:textId="77777777" w:rsidR="00634E30" w:rsidRDefault="00000000">
            <w:pPr>
              <w:pStyle w:val="TableContents"/>
            </w:pPr>
            <w:r>
              <w:t>Recordable injuries</w:t>
            </w:r>
          </w:p>
        </w:tc>
        <w:tc>
          <w:tcPr>
            <w:tcW w:w="3289" w:type="dxa"/>
            <w:tcBorders>
              <w:left w:val="single" w:sz="4" w:space="0" w:color="000000"/>
              <w:bottom w:val="single" w:sz="4" w:space="0" w:color="000000"/>
            </w:tcBorders>
          </w:tcPr>
          <w:p w14:paraId="6E7A9162" w14:textId="77777777" w:rsidR="00634E30" w:rsidRDefault="00000000">
            <w:pPr>
              <w:pStyle w:val="TableContents"/>
            </w:pPr>
            <w:r>
              <w:t>34</w:t>
            </w:r>
          </w:p>
        </w:tc>
        <w:tc>
          <w:tcPr>
            <w:tcW w:w="3289" w:type="dxa"/>
            <w:tcBorders>
              <w:left w:val="single" w:sz="4" w:space="0" w:color="000000"/>
              <w:bottom w:val="single" w:sz="4" w:space="0" w:color="000000"/>
              <w:right w:val="single" w:sz="4" w:space="0" w:color="000000"/>
            </w:tcBorders>
          </w:tcPr>
          <w:p w14:paraId="6F28609F" w14:textId="77777777" w:rsidR="00634E30" w:rsidRDefault="00000000">
            <w:pPr>
              <w:pStyle w:val="TableContents"/>
            </w:pPr>
            <w:r>
              <w:t>40.4% lower vs. 2021</w:t>
            </w:r>
          </w:p>
        </w:tc>
      </w:tr>
      <w:tr w:rsidR="00634E30" w14:paraId="3718E4C7" w14:textId="77777777">
        <w:tc>
          <w:tcPr>
            <w:tcW w:w="3288" w:type="dxa"/>
            <w:tcBorders>
              <w:left w:val="single" w:sz="4" w:space="0" w:color="000000"/>
              <w:bottom w:val="single" w:sz="4" w:space="0" w:color="000000"/>
            </w:tcBorders>
          </w:tcPr>
          <w:p w14:paraId="24C858DC" w14:textId="77777777" w:rsidR="00634E30" w:rsidRDefault="00000000">
            <w:pPr>
              <w:pStyle w:val="TableContents"/>
            </w:pPr>
            <w:r>
              <w:t>Ethics training</w:t>
            </w:r>
          </w:p>
        </w:tc>
        <w:tc>
          <w:tcPr>
            <w:tcW w:w="3289" w:type="dxa"/>
            <w:tcBorders>
              <w:left w:val="single" w:sz="4" w:space="0" w:color="000000"/>
              <w:bottom w:val="single" w:sz="4" w:space="0" w:color="000000"/>
            </w:tcBorders>
          </w:tcPr>
          <w:p w14:paraId="3505A9B1" w14:textId="77777777" w:rsidR="00634E30" w:rsidRDefault="00000000">
            <w:pPr>
              <w:pStyle w:val="TableContents"/>
            </w:pPr>
            <w:r>
              <w:t>97.3%</w:t>
            </w:r>
          </w:p>
        </w:tc>
        <w:tc>
          <w:tcPr>
            <w:tcW w:w="3289" w:type="dxa"/>
            <w:tcBorders>
              <w:left w:val="single" w:sz="4" w:space="0" w:color="000000"/>
              <w:bottom w:val="single" w:sz="4" w:space="0" w:color="000000"/>
              <w:right w:val="single" w:sz="4" w:space="0" w:color="000000"/>
            </w:tcBorders>
          </w:tcPr>
          <w:p w14:paraId="354BC6DD" w14:textId="77777777" w:rsidR="00634E30" w:rsidRDefault="00000000">
            <w:pPr>
              <w:pStyle w:val="TableContents"/>
            </w:pPr>
            <w:r>
              <w:t>Close to 98% target</w:t>
            </w:r>
          </w:p>
        </w:tc>
      </w:tr>
      <w:tr w:rsidR="00634E30" w14:paraId="7CEFEA2D" w14:textId="77777777">
        <w:tc>
          <w:tcPr>
            <w:tcW w:w="3288" w:type="dxa"/>
            <w:tcBorders>
              <w:left w:val="single" w:sz="4" w:space="0" w:color="000000"/>
              <w:bottom w:val="single" w:sz="4" w:space="0" w:color="000000"/>
            </w:tcBorders>
          </w:tcPr>
          <w:p w14:paraId="510D6DA0" w14:textId="77777777" w:rsidR="00634E30" w:rsidRDefault="00000000">
            <w:pPr>
              <w:pStyle w:val="TableContents"/>
            </w:pPr>
            <w:r>
              <w:t>Compliance incidents</w:t>
            </w:r>
          </w:p>
        </w:tc>
        <w:tc>
          <w:tcPr>
            <w:tcW w:w="3289" w:type="dxa"/>
            <w:tcBorders>
              <w:left w:val="single" w:sz="4" w:space="0" w:color="000000"/>
              <w:bottom w:val="single" w:sz="4" w:space="0" w:color="000000"/>
            </w:tcBorders>
          </w:tcPr>
          <w:p w14:paraId="0B3369F8" w14:textId="77777777" w:rsidR="00634E30" w:rsidRDefault="00000000">
            <w:pPr>
              <w:pStyle w:val="TableContents"/>
            </w:pPr>
            <w:r>
              <w:t>12</w:t>
            </w:r>
          </w:p>
        </w:tc>
        <w:tc>
          <w:tcPr>
            <w:tcW w:w="3289" w:type="dxa"/>
            <w:tcBorders>
              <w:left w:val="single" w:sz="4" w:space="0" w:color="000000"/>
              <w:bottom w:val="single" w:sz="4" w:space="0" w:color="000000"/>
              <w:right w:val="single" w:sz="4" w:space="0" w:color="000000"/>
            </w:tcBorders>
          </w:tcPr>
          <w:p w14:paraId="4E751693" w14:textId="77777777" w:rsidR="00634E30" w:rsidRDefault="00000000">
            <w:pPr>
              <w:pStyle w:val="TableContents"/>
            </w:pPr>
            <w:r>
              <w:t>60.0% lower vs. 2021</w:t>
            </w:r>
          </w:p>
        </w:tc>
      </w:tr>
    </w:tbl>
    <w:p w14:paraId="1AF7CC51" w14:textId="77777777" w:rsidR="00634E30" w:rsidRDefault="00634E30">
      <w:pPr>
        <w:spacing w:after="68"/>
        <w:jc w:val="center"/>
        <w:rPr>
          <w:color w:val="2F5D50"/>
          <w:sz w:val="20"/>
        </w:rPr>
      </w:pPr>
    </w:p>
    <w:p w14:paraId="2F65FE97" w14:textId="77777777" w:rsidR="00634E30" w:rsidRDefault="00000000" w:rsidP="0015115D">
      <w:pPr>
        <w:spacing w:after="102"/>
        <w:jc w:val="center"/>
        <w:rPr>
          <w:b/>
          <w:color w:val="2F5D50"/>
          <w:sz w:val="28"/>
        </w:rPr>
      </w:pPr>
      <w:r>
        <w:rPr>
          <w:b/>
          <w:color w:val="2F5D50"/>
          <w:sz w:val="28"/>
        </w:rPr>
        <w:t>Key messages</w:t>
      </w:r>
    </w:p>
    <w:p w14:paraId="76E4C569" w14:textId="77777777" w:rsidR="00634E30" w:rsidRDefault="00000000" w:rsidP="0015115D">
      <w:pPr>
        <w:spacing w:after="40"/>
        <w:rPr>
          <w:color w:val="2F5D50"/>
          <w:sz w:val="20"/>
        </w:rPr>
      </w:pPr>
      <w:r>
        <w:rPr>
          <w:color w:val="2F5D50"/>
          <w:sz w:val="20"/>
        </w:rPr>
        <w:t>• Scope 1+2 emissions declined by 9.0% from 2021 to 2025, but the 20% reduction target was not achieved.</w:t>
      </w:r>
    </w:p>
    <w:p w14:paraId="41765630" w14:textId="77777777" w:rsidR="00634E30" w:rsidRDefault="00000000" w:rsidP="0015115D">
      <w:pPr>
        <w:spacing w:after="40"/>
        <w:rPr>
          <w:color w:val="2F5D50"/>
          <w:sz w:val="20"/>
        </w:rPr>
      </w:pPr>
      <w:r>
        <w:rPr>
          <w:color w:val="2F5D50"/>
          <w:sz w:val="20"/>
        </w:rPr>
        <w:t>• Renewable energy reached 43.9% and waste recycling reached 83.4%.</w:t>
      </w:r>
    </w:p>
    <w:p w14:paraId="73D551D1" w14:textId="77777777" w:rsidR="00634E30" w:rsidRDefault="00000000" w:rsidP="0015115D">
      <w:pPr>
        <w:spacing w:after="40"/>
        <w:rPr>
          <w:color w:val="2F5D50"/>
          <w:sz w:val="20"/>
        </w:rPr>
      </w:pPr>
      <w:r>
        <w:rPr>
          <w:color w:val="2F5D50"/>
          <w:sz w:val="20"/>
        </w:rPr>
        <w:t>• Female workforce representation reached 34.6% while turnover fell to 9.4%.</w:t>
      </w:r>
    </w:p>
    <w:p w14:paraId="59B0ABB8" w14:textId="77777777" w:rsidR="00634E30" w:rsidRDefault="00000000" w:rsidP="0015115D">
      <w:pPr>
        <w:spacing w:after="40"/>
        <w:rPr>
          <w:color w:val="2F5D50"/>
          <w:sz w:val="20"/>
        </w:rPr>
      </w:pPr>
      <w:r>
        <w:rPr>
          <w:color w:val="2F5D50"/>
          <w:sz w:val="20"/>
        </w:rPr>
        <w:t>• Recordable injuries declined by 40.4%, exceeding the 25% reduction target.</w:t>
      </w:r>
    </w:p>
    <w:p w14:paraId="69B8A827" w14:textId="77777777" w:rsidR="00634E30" w:rsidRDefault="00000000" w:rsidP="0015115D">
      <w:pPr>
        <w:spacing w:after="40"/>
        <w:rPr>
          <w:color w:val="2F5D50"/>
          <w:sz w:val="20"/>
        </w:rPr>
      </w:pPr>
      <w:r>
        <w:rPr>
          <w:color w:val="2F5D50"/>
          <w:sz w:val="20"/>
        </w:rPr>
        <w:t>• Ethics training reached 97.3% and compliance incidents declined by 60.0%.</w:t>
      </w:r>
      <w:r>
        <w:br w:type="page"/>
      </w:r>
    </w:p>
    <w:p w14:paraId="6C17D91A" w14:textId="77777777" w:rsidR="00634E30" w:rsidRDefault="00634E30">
      <w:pPr>
        <w:spacing w:after="40"/>
        <w:jc w:val="center"/>
        <w:rPr>
          <w:color w:val="2F5D50"/>
          <w:sz w:val="20"/>
        </w:rPr>
      </w:pPr>
    </w:p>
    <w:p w14:paraId="69F09ABA" w14:textId="77777777" w:rsidR="00634E30" w:rsidRDefault="00000000">
      <w:pPr>
        <w:spacing w:after="102"/>
        <w:jc w:val="center"/>
        <w:rPr>
          <w:b/>
          <w:color w:val="2F5D50"/>
          <w:sz w:val="40"/>
        </w:rPr>
      </w:pPr>
      <w:r>
        <w:rPr>
          <w:b/>
          <w:color w:val="2F5D50"/>
          <w:sz w:val="40"/>
        </w:rPr>
        <w:t>1. Executive Summary</w:t>
      </w:r>
    </w:p>
    <w:p w14:paraId="4E6CBB25" w14:textId="77777777" w:rsidR="00634E30" w:rsidRDefault="00000000">
      <w:pPr>
        <w:spacing w:after="68"/>
        <w:jc w:val="center"/>
        <w:rPr>
          <w:color w:val="2F5D50"/>
          <w:sz w:val="20"/>
        </w:rPr>
      </w:pPr>
      <w:r>
        <w:rPr>
          <w:color w:val="2F5D50"/>
          <w:sz w:val="20"/>
        </w:rPr>
        <w:t>EcoManufacture Ltd. is presented in this portfolio as a fictional Indian manufacturing organization with five facilities across Maharashtra, Gujarat, Karnataka and Tamil Nadu. This report evaluates environmental, social and governance performance from 2021 through 2025.</w:t>
      </w:r>
    </w:p>
    <w:p w14:paraId="3C5451A9" w14:textId="77777777" w:rsidR="00634E30" w:rsidRDefault="00000000">
      <w:pPr>
        <w:spacing w:after="68"/>
        <w:jc w:val="center"/>
        <w:rPr>
          <w:color w:val="2F5D50"/>
          <w:sz w:val="20"/>
        </w:rPr>
      </w:pPr>
      <w:r>
        <w:rPr>
          <w:color w:val="2F5D50"/>
          <w:sz w:val="20"/>
        </w:rPr>
        <w:t>The overall trajectory is positive but uneven. Scope 1+2 emissions decreased from 35,944 tCO2e in 2021 to 32,704 tCO2e in 2025, a 9.0% reduction. Renewable energy increased materially, while water use and waste generation declined.</w:t>
      </w:r>
    </w:p>
    <w:p w14:paraId="09CD845C" w14:textId="77777777" w:rsidR="00634E30" w:rsidRDefault="00000000">
      <w:pPr>
        <w:spacing w:after="68"/>
        <w:jc w:val="center"/>
        <w:rPr>
          <w:color w:val="2F5D50"/>
          <w:sz w:val="20"/>
        </w:rPr>
      </w:pPr>
      <w:r>
        <w:rPr>
          <w:color w:val="2F5D50"/>
          <w:sz w:val="20"/>
        </w:rPr>
        <w:t>Social performance strengthened through higher workforce diversity, lower turnover and fewer recordable injuries. Governance performance improved through stronger board independence, ethics training and fewer compliance incidents.</w:t>
      </w:r>
    </w:p>
    <w:p w14:paraId="61C564E0" w14:textId="77777777" w:rsidR="0015115D" w:rsidRDefault="0015115D">
      <w:pPr>
        <w:spacing w:after="68"/>
        <w:jc w:val="center"/>
        <w:rPr>
          <w:color w:val="2F5D50"/>
          <w:sz w:val="20"/>
        </w:rPr>
      </w:pPr>
    </w:p>
    <w:p w14:paraId="7E9439BF" w14:textId="77777777" w:rsidR="0015115D" w:rsidRDefault="0015115D">
      <w:pPr>
        <w:spacing w:after="68"/>
        <w:jc w:val="center"/>
        <w:rPr>
          <w:color w:val="2F5D50"/>
          <w:sz w:val="20"/>
        </w:rPr>
      </w:pPr>
    </w:p>
    <w:p w14:paraId="7CBF88B4" w14:textId="77777777" w:rsidR="0015115D" w:rsidRDefault="0015115D">
      <w:pPr>
        <w:spacing w:after="68"/>
        <w:jc w:val="center"/>
        <w:rPr>
          <w:color w:val="2F5D50"/>
          <w:sz w:val="20"/>
        </w:rPr>
      </w:pPr>
    </w:p>
    <w:p w14:paraId="2C5B673C" w14:textId="77777777" w:rsidR="00634E30" w:rsidRDefault="00000000">
      <w:pPr>
        <w:spacing w:after="102"/>
        <w:jc w:val="center"/>
        <w:rPr>
          <w:b/>
          <w:color w:val="2F5D50"/>
          <w:sz w:val="40"/>
        </w:rPr>
      </w:pPr>
      <w:r>
        <w:rPr>
          <w:b/>
          <w:color w:val="2F5D50"/>
          <w:sz w:val="40"/>
        </w:rPr>
        <w:t>2. Reporting Scope &amp; ESG Approach</w:t>
      </w:r>
    </w:p>
    <w:p w14:paraId="499429E9" w14:textId="77777777" w:rsidR="00634E30" w:rsidRDefault="00000000">
      <w:pPr>
        <w:spacing w:after="68"/>
        <w:jc w:val="center"/>
        <w:rPr>
          <w:color w:val="2F5D50"/>
          <w:sz w:val="20"/>
        </w:rPr>
      </w:pPr>
      <w:r>
        <w:rPr>
          <w:color w:val="2F5D50"/>
          <w:sz w:val="20"/>
        </w:rPr>
        <w:t>The report covers five manufacturing facilities and a five-year period from 2021 to 2025. Environmental data are monthly; social and governance data are quarterly. Facility-level records support trend analysis, regional comparisons and target tracking.</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84"/>
        <w:gridCol w:w="3286"/>
        <w:gridCol w:w="3286"/>
      </w:tblGrid>
      <w:tr w:rsidR="00634E30" w14:paraId="3BB8AB01" w14:textId="77777777">
        <w:tc>
          <w:tcPr>
            <w:tcW w:w="3288" w:type="dxa"/>
            <w:tcBorders>
              <w:top w:val="single" w:sz="4" w:space="0" w:color="000000"/>
              <w:left w:val="single" w:sz="4" w:space="0" w:color="000000"/>
              <w:bottom w:val="single" w:sz="4" w:space="0" w:color="000000"/>
            </w:tcBorders>
            <w:shd w:val="clear" w:color="auto" w:fill="2F5D50"/>
          </w:tcPr>
          <w:p w14:paraId="5418A390" w14:textId="77777777" w:rsidR="00634E30" w:rsidRDefault="00000000">
            <w:pPr>
              <w:pStyle w:val="TableHeading"/>
            </w:pPr>
            <w:r>
              <w:t>ESG pillar</w:t>
            </w:r>
          </w:p>
        </w:tc>
        <w:tc>
          <w:tcPr>
            <w:tcW w:w="3289" w:type="dxa"/>
            <w:tcBorders>
              <w:top w:val="single" w:sz="4" w:space="0" w:color="000000"/>
              <w:left w:val="single" w:sz="4" w:space="0" w:color="000000"/>
              <w:bottom w:val="single" w:sz="4" w:space="0" w:color="000000"/>
            </w:tcBorders>
            <w:shd w:val="clear" w:color="auto" w:fill="2F5D50"/>
          </w:tcPr>
          <w:p w14:paraId="5047B5EF" w14:textId="77777777" w:rsidR="00634E30" w:rsidRDefault="00000000">
            <w:pPr>
              <w:pStyle w:val="TableHeading"/>
            </w:pPr>
            <w:r>
              <w:t>Primary topics</w:t>
            </w:r>
          </w:p>
        </w:tc>
        <w:tc>
          <w:tcPr>
            <w:tcW w:w="3289" w:type="dxa"/>
            <w:tcBorders>
              <w:top w:val="single" w:sz="4" w:space="0" w:color="000000"/>
              <w:left w:val="single" w:sz="4" w:space="0" w:color="000000"/>
              <w:bottom w:val="single" w:sz="4" w:space="0" w:color="000000"/>
              <w:right w:val="single" w:sz="4" w:space="0" w:color="000000"/>
            </w:tcBorders>
            <w:shd w:val="clear" w:color="auto" w:fill="2F5D50"/>
          </w:tcPr>
          <w:p w14:paraId="6A1B7DDE" w14:textId="77777777" w:rsidR="00634E30" w:rsidRDefault="00000000">
            <w:pPr>
              <w:pStyle w:val="TableHeading"/>
            </w:pPr>
            <w:r>
              <w:t>Frequency</w:t>
            </w:r>
          </w:p>
        </w:tc>
      </w:tr>
      <w:tr w:rsidR="00634E30" w14:paraId="4C6CFBA7" w14:textId="77777777">
        <w:tc>
          <w:tcPr>
            <w:tcW w:w="3288" w:type="dxa"/>
            <w:tcBorders>
              <w:left w:val="single" w:sz="4" w:space="0" w:color="000000"/>
              <w:bottom w:val="single" w:sz="4" w:space="0" w:color="000000"/>
            </w:tcBorders>
          </w:tcPr>
          <w:p w14:paraId="36851AC8" w14:textId="77777777" w:rsidR="00634E30" w:rsidRDefault="00000000">
            <w:pPr>
              <w:pStyle w:val="TableContents"/>
            </w:pPr>
            <w:r>
              <w:t>Environmental</w:t>
            </w:r>
          </w:p>
        </w:tc>
        <w:tc>
          <w:tcPr>
            <w:tcW w:w="3289" w:type="dxa"/>
            <w:tcBorders>
              <w:left w:val="single" w:sz="4" w:space="0" w:color="000000"/>
              <w:bottom w:val="single" w:sz="4" w:space="0" w:color="000000"/>
            </w:tcBorders>
          </w:tcPr>
          <w:p w14:paraId="2B614732" w14:textId="77777777" w:rsidR="00634E30" w:rsidRDefault="00000000">
            <w:pPr>
              <w:pStyle w:val="TableContents"/>
            </w:pPr>
            <w:r>
              <w:t>GHG emissions, energy, renewable energy, water, waste recycling</w:t>
            </w:r>
          </w:p>
        </w:tc>
        <w:tc>
          <w:tcPr>
            <w:tcW w:w="3289" w:type="dxa"/>
            <w:tcBorders>
              <w:left w:val="single" w:sz="4" w:space="0" w:color="000000"/>
              <w:bottom w:val="single" w:sz="4" w:space="0" w:color="000000"/>
              <w:right w:val="single" w:sz="4" w:space="0" w:color="000000"/>
            </w:tcBorders>
          </w:tcPr>
          <w:p w14:paraId="4DF50927" w14:textId="77777777" w:rsidR="00634E30" w:rsidRDefault="00000000">
            <w:pPr>
              <w:pStyle w:val="TableContents"/>
            </w:pPr>
            <w:r>
              <w:t>Monthly</w:t>
            </w:r>
          </w:p>
        </w:tc>
      </w:tr>
      <w:tr w:rsidR="00634E30" w14:paraId="08DFEE36" w14:textId="77777777">
        <w:tc>
          <w:tcPr>
            <w:tcW w:w="3288" w:type="dxa"/>
            <w:tcBorders>
              <w:left w:val="single" w:sz="4" w:space="0" w:color="000000"/>
              <w:bottom w:val="single" w:sz="4" w:space="0" w:color="000000"/>
            </w:tcBorders>
          </w:tcPr>
          <w:p w14:paraId="0BFF1162" w14:textId="77777777" w:rsidR="00634E30" w:rsidRDefault="00000000">
            <w:pPr>
              <w:pStyle w:val="TableContents"/>
            </w:pPr>
            <w:r>
              <w:t>Social</w:t>
            </w:r>
          </w:p>
        </w:tc>
        <w:tc>
          <w:tcPr>
            <w:tcW w:w="3289" w:type="dxa"/>
            <w:tcBorders>
              <w:left w:val="single" w:sz="4" w:space="0" w:color="000000"/>
              <w:bottom w:val="single" w:sz="4" w:space="0" w:color="000000"/>
            </w:tcBorders>
          </w:tcPr>
          <w:p w14:paraId="534A9CAA" w14:textId="77777777" w:rsidR="00634E30" w:rsidRDefault="00000000">
            <w:pPr>
              <w:pStyle w:val="TableContents"/>
            </w:pPr>
            <w:r>
              <w:t>Workforce, gender diversity, turnover, training, injuries</w:t>
            </w:r>
          </w:p>
        </w:tc>
        <w:tc>
          <w:tcPr>
            <w:tcW w:w="3289" w:type="dxa"/>
            <w:tcBorders>
              <w:left w:val="single" w:sz="4" w:space="0" w:color="000000"/>
              <w:bottom w:val="single" w:sz="4" w:space="0" w:color="000000"/>
              <w:right w:val="single" w:sz="4" w:space="0" w:color="000000"/>
            </w:tcBorders>
          </w:tcPr>
          <w:p w14:paraId="70690B35" w14:textId="77777777" w:rsidR="00634E30" w:rsidRDefault="00000000">
            <w:pPr>
              <w:pStyle w:val="TableContents"/>
            </w:pPr>
            <w:r>
              <w:t>Quarterly</w:t>
            </w:r>
          </w:p>
        </w:tc>
      </w:tr>
      <w:tr w:rsidR="00634E30" w14:paraId="7679C459" w14:textId="77777777">
        <w:tc>
          <w:tcPr>
            <w:tcW w:w="3288" w:type="dxa"/>
            <w:tcBorders>
              <w:left w:val="single" w:sz="4" w:space="0" w:color="000000"/>
              <w:bottom w:val="single" w:sz="4" w:space="0" w:color="000000"/>
            </w:tcBorders>
          </w:tcPr>
          <w:p w14:paraId="11C24E22" w14:textId="77777777" w:rsidR="00634E30" w:rsidRDefault="00000000">
            <w:pPr>
              <w:pStyle w:val="TableContents"/>
            </w:pPr>
            <w:r>
              <w:t>Governance</w:t>
            </w:r>
          </w:p>
        </w:tc>
        <w:tc>
          <w:tcPr>
            <w:tcW w:w="3289" w:type="dxa"/>
            <w:tcBorders>
              <w:left w:val="single" w:sz="4" w:space="0" w:color="000000"/>
              <w:bottom w:val="single" w:sz="4" w:space="0" w:color="000000"/>
            </w:tcBorders>
          </w:tcPr>
          <w:p w14:paraId="663C30E3" w14:textId="77777777" w:rsidR="00634E30" w:rsidRDefault="00000000">
            <w:pPr>
              <w:pStyle w:val="TableContents"/>
            </w:pPr>
            <w:r>
              <w:t>Board composition, ethics training, compliance, data privacy</w:t>
            </w:r>
          </w:p>
        </w:tc>
        <w:tc>
          <w:tcPr>
            <w:tcW w:w="3289" w:type="dxa"/>
            <w:tcBorders>
              <w:left w:val="single" w:sz="4" w:space="0" w:color="000000"/>
              <w:bottom w:val="single" w:sz="4" w:space="0" w:color="000000"/>
              <w:right w:val="single" w:sz="4" w:space="0" w:color="000000"/>
            </w:tcBorders>
          </w:tcPr>
          <w:p w14:paraId="2E2C59B2" w14:textId="77777777" w:rsidR="00634E30" w:rsidRDefault="00000000">
            <w:pPr>
              <w:pStyle w:val="TableContents"/>
            </w:pPr>
            <w:r>
              <w:t>Quarterly</w:t>
            </w:r>
          </w:p>
        </w:tc>
      </w:tr>
    </w:tbl>
    <w:p w14:paraId="386E7D7F" w14:textId="77777777" w:rsidR="00634E30" w:rsidRDefault="00000000">
      <w:pPr>
        <w:spacing w:after="68"/>
        <w:jc w:val="center"/>
        <w:rPr>
          <w:color w:val="2F5D50"/>
          <w:sz w:val="20"/>
        </w:rPr>
      </w:pPr>
      <w:r>
        <w:br w:type="page"/>
      </w:r>
    </w:p>
    <w:p w14:paraId="01D15206" w14:textId="77777777" w:rsidR="00634E30" w:rsidRDefault="00634E30">
      <w:pPr>
        <w:spacing w:after="68"/>
        <w:jc w:val="center"/>
        <w:rPr>
          <w:color w:val="2F5D50"/>
          <w:sz w:val="20"/>
        </w:rPr>
      </w:pPr>
    </w:p>
    <w:p w14:paraId="56445E56" w14:textId="77777777" w:rsidR="00634E30" w:rsidRDefault="00000000">
      <w:pPr>
        <w:spacing w:after="102"/>
        <w:jc w:val="center"/>
        <w:rPr>
          <w:b/>
          <w:color w:val="2F5D50"/>
          <w:sz w:val="40"/>
        </w:rPr>
      </w:pPr>
      <w:r>
        <w:rPr>
          <w:b/>
          <w:color w:val="2F5D50"/>
          <w:sz w:val="40"/>
        </w:rPr>
        <w:t>3. Environmental Performance</w:t>
      </w:r>
    </w:p>
    <w:p w14:paraId="17E3DEE4" w14:textId="77777777" w:rsidR="00634E30" w:rsidRDefault="00000000">
      <w:pPr>
        <w:spacing w:after="68"/>
        <w:jc w:val="center"/>
        <w:rPr>
          <w:color w:val="2F5D50"/>
          <w:sz w:val="20"/>
        </w:rPr>
      </w:pPr>
      <w:r>
        <w:rPr>
          <w:color w:val="2F5D50"/>
          <w:sz w:val="20"/>
        </w:rPr>
        <w:t>Environmental performance focuses on greenhouse-gas emissions, energy consumption, renewable-energy adoption, water use and waste management.</w:t>
      </w:r>
    </w:p>
    <w:p w14:paraId="1BEA8C8C" w14:textId="77777777" w:rsidR="00634E30" w:rsidRDefault="00000000">
      <w:pPr>
        <w:spacing w:after="68"/>
        <w:jc w:val="center"/>
        <w:rPr>
          <w:color w:val="2F5D50"/>
          <w:sz w:val="20"/>
        </w:rPr>
      </w:pPr>
      <w:r>
        <w:rPr>
          <w:noProof/>
          <w:color w:val="2F5D50"/>
          <w:sz w:val="20"/>
        </w:rPr>
        <w:drawing>
          <wp:inline distT="0" distB="0" distL="0" distR="0" wp14:anchorId="3B441136" wp14:editId="446FBDA1">
            <wp:extent cx="6120130" cy="2952115"/>
            <wp:effectExtent l="0" t="0" r="0" b="0"/>
            <wp:docPr id="1" name="Obj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101EA7C9" w14:textId="77777777" w:rsidR="00634E30" w:rsidRDefault="00000000">
      <w:pPr>
        <w:spacing w:after="91"/>
        <w:jc w:val="center"/>
        <w:rPr>
          <w:color w:val="2F5D50"/>
          <w:sz w:val="18"/>
        </w:rPr>
      </w:pPr>
      <w:r>
        <w:rPr>
          <w:color w:val="2F5D50"/>
          <w:sz w:val="18"/>
        </w:rPr>
        <w:t>Figure 1. GHG emissions by scope, 2021–2025. Data labels are native/editable chart labels.</w:t>
      </w:r>
    </w:p>
    <w:p w14:paraId="03178418" w14:textId="77777777" w:rsidR="00634E30" w:rsidRDefault="00000000">
      <w:pPr>
        <w:spacing w:after="68"/>
        <w:jc w:val="center"/>
        <w:rPr>
          <w:color w:val="2F5D50"/>
          <w:sz w:val="20"/>
        </w:rPr>
      </w:pPr>
      <w:r>
        <w:rPr>
          <w:color w:val="2F5D50"/>
          <w:sz w:val="20"/>
        </w:rPr>
        <w:t>Scope 1+2 emissions fell by 9.0% from 2021 to 2025. Scope 3 remained comparatively stable at approximately 33,211 tCO2e in 2025, indicating that value-chain emissions remain an important management area.</w:t>
      </w:r>
    </w:p>
    <w:p w14:paraId="3833376E" w14:textId="77777777" w:rsidR="00634E30" w:rsidRDefault="00000000">
      <w:pPr>
        <w:spacing w:after="68"/>
        <w:jc w:val="center"/>
        <w:rPr>
          <w:color w:val="2F5D50"/>
          <w:sz w:val="20"/>
        </w:rPr>
      </w:pPr>
      <w:r>
        <w:rPr>
          <w:color w:val="2F5D50"/>
          <w:sz w:val="20"/>
        </w:rPr>
        <w:t>Renewable energy increased from 22.6% in 2021 to 43.9% in 2025. The organization is close to the 45% target.</w:t>
      </w:r>
    </w:p>
    <w:p w14:paraId="23ED083A" w14:textId="77777777" w:rsidR="0015115D" w:rsidRDefault="0015115D">
      <w:pPr>
        <w:spacing w:after="68"/>
        <w:jc w:val="center"/>
        <w:rPr>
          <w:color w:val="2F5D50"/>
          <w:sz w:val="20"/>
        </w:rPr>
      </w:pPr>
    </w:p>
    <w:p w14:paraId="4B57E1CE" w14:textId="77777777" w:rsidR="0015115D" w:rsidRDefault="0015115D">
      <w:pPr>
        <w:spacing w:after="68"/>
        <w:jc w:val="center"/>
        <w:rPr>
          <w:color w:val="2F5D50"/>
          <w:sz w:val="20"/>
        </w:rPr>
      </w:pPr>
    </w:p>
    <w:p w14:paraId="1FE23EF9" w14:textId="77777777" w:rsidR="00634E30" w:rsidRDefault="00000000">
      <w:pPr>
        <w:spacing w:after="68"/>
        <w:jc w:val="center"/>
        <w:rPr>
          <w:color w:val="2F5D50"/>
          <w:sz w:val="20"/>
        </w:rPr>
      </w:pPr>
      <w:r>
        <w:rPr>
          <w:noProof/>
          <w:color w:val="2F5D50"/>
          <w:sz w:val="20"/>
        </w:rPr>
        <w:drawing>
          <wp:inline distT="0" distB="0" distL="0" distR="0" wp14:anchorId="06D170EB" wp14:editId="1F0160AF">
            <wp:extent cx="6120130" cy="2952115"/>
            <wp:effectExtent l="0" t="0" r="0" b="0"/>
            <wp:docPr id="2" name="Object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5968FED" w14:textId="77777777" w:rsidR="00634E30" w:rsidRDefault="00000000">
      <w:pPr>
        <w:spacing w:after="91"/>
        <w:jc w:val="center"/>
        <w:rPr>
          <w:color w:val="2F5D50"/>
          <w:sz w:val="18"/>
        </w:rPr>
      </w:pPr>
      <w:r>
        <w:rPr>
          <w:color w:val="2F5D50"/>
          <w:sz w:val="18"/>
        </w:rPr>
        <w:t>Figure 2. Renewable-energy adoption and weighted waste-recycling performance, 2021–2025.</w:t>
      </w:r>
    </w:p>
    <w:p w14:paraId="3C1C5D27" w14:textId="77777777" w:rsidR="00634E30" w:rsidRDefault="00000000">
      <w:pPr>
        <w:spacing w:after="68"/>
        <w:jc w:val="center"/>
        <w:rPr>
          <w:color w:val="2F5D50"/>
          <w:sz w:val="20"/>
        </w:rPr>
      </w:pPr>
      <w:r>
        <w:rPr>
          <w:color w:val="2F5D50"/>
          <w:sz w:val="20"/>
        </w:rPr>
        <w:t xml:space="preserve">Annual water consumption declined from 416,581 m³ in 2021 to 399,740 m³ in 2025. Waste generated declined from 18,496 </w:t>
      </w:r>
      <w:proofErr w:type="spellStart"/>
      <w:r>
        <w:rPr>
          <w:color w:val="2F5D50"/>
          <w:sz w:val="20"/>
        </w:rPr>
        <w:t>tonnes</w:t>
      </w:r>
      <w:proofErr w:type="spellEnd"/>
      <w:r>
        <w:rPr>
          <w:color w:val="2F5D50"/>
          <w:sz w:val="20"/>
        </w:rPr>
        <w:t xml:space="preserve"> to 18,157 </w:t>
      </w:r>
      <w:proofErr w:type="spellStart"/>
      <w:r>
        <w:rPr>
          <w:color w:val="2F5D50"/>
          <w:sz w:val="20"/>
        </w:rPr>
        <w:t>tonnes</w:t>
      </w:r>
      <w:proofErr w:type="spellEnd"/>
      <w:r>
        <w:rPr>
          <w:color w:val="2F5D50"/>
          <w:sz w:val="20"/>
        </w:rPr>
        <w:t>.</w:t>
      </w:r>
    </w:p>
    <w:p w14:paraId="74769436" w14:textId="77777777" w:rsidR="0015115D" w:rsidRDefault="0015115D">
      <w:pPr>
        <w:spacing w:after="68"/>
        <w:jc w:val="center"/>
        <w:rPr>
          <w:color w:val="2F5D50"/>
          <w:sz w:val="20"/>
        </w:rPr>
      </w:pPr>
    </w:p>
    <w:p w14:paraId="7BD476A6" w14:textId="77777777" w:rsidR="0015115D" w:rsidRDefault="0015115D">
      <w:pPr>
        <w:spacing w:after="68"/>
        <w:jc w:val="center"/>
        <w:rPr>
          <w:color w:val="2F5D50"/>
          <w:sz w:val="20"/>
        </w:rPr>
      </w:pPr>
    </w:p>
    <w:p w14:paraId="37DA5E7C" w14:textId="77777777" w:rsidR="0015115D" w:rsidRDefault="0015115D">
      <w:pPr>
        <w:spacing w:after="68"/>
        <w:jc w:val="center"/>
        <w:rPr>
          <w:color w:val="2F5D50"/>
          <w:sz w:val="20"/>
        </w:rPr>
      </w:pPr>
    </w:p>
    <w:p w14:paraId="55572829" w14:textId="77777777" w:rsidR="0015115D" w:rsidRDefault="0015115D">
      <w:pPr>
        <w:spacing w:after="68"/>
        <w:jc w:val="center"/>
        <w:rPr>
          <w:color w:val="2F5D50"/>
          <w:sz w:val="20"/>
        </w:rPr>
      </w:pPr>
    </w:p>
    <w:p w14:paraId="750D0837" w14:textId="77777777" w:rsidR="0015115D" w:rsidRDefault="0015115D">
      <w:pPr>
        <w:spacing w:after="68"/>
        <w:jc w:val="center"/>
        <w:rPr>
          <w:color w:val="2F5D50"/>
          <w:sz w:val="20"/>
        </w:rPr>
      </w:pPr>
    </w:p>
    <w:p w14:paraId="1667D34E" w14:textId="77777777" w:rsidR="0015115D" w:rsidRDefault="0015115D">
      <w:pPr>
        <w:spacing w:after="68"/>
        <w:jc w:val="center"/>
        <w:rPr>
          <w:color w:val="2F5D50"/>
          <w:sz w:val="20"/>
        </w:rPr>
      </w:pPr>
    </w:p>
    <w:p w14:paraId="3EF1291F" w14:textId="77777777" w:rsidR="0015115D" w:rsidRDefault="0015115D">
      <w:pPr>
        <w:spacing w:after="68"/>
        <w:jc w:val="center"/>
        <w:rPr>
          <w:color w:val="2F5D50"/>
          <w:sz w:val="20"/>
        </w:rPr>
      </w:pP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64"/>
        <w:gridCol w:w="2464"/>
        <w:gridCol w:w="2464"/>
        <w:gridCol w:w="2464"/>
      </w:tblGrid>
      <w:tr w:rsidR="00634E30" w14:paraId="5B3FBCF1" w14:textId="77777777">
        <w:tc>
          <w:tcPr>
            <w:tcW w:w="2466" w:type="dxa"/>
            <w:tcBorders>
              <w:top w:val="single" w:sz="4" w:space="0" w:color="000000"/>
              <w:left w:val="single" w:sz="4" w:space="0" w:color="000000"/>
              <w:bottom w:val="single" w:sz="4" w:space="0" w:color="000000"/>
            </w:tcBorders>
            <w:shd w:val="clear" w:color="auto" w:fill="2F5D50"/>
          </w:tcPr>
          <w:p w14:paraId="272E63C8" w14:textId="77777777" w:rsidR="00634E30" w:rsidRDefault="00000000">
            <w:pPr>
              <w:pStyle w:val="TableHeading"/>
            </w:pPr>
            <w:r>
              <w:t>2025 facility</w:t>
            </w:r>
          </w:p>
        </w:tc>
        <w:tc>
          <w:tcPr>
            <w:tcW w:w="2467" w:type="dxa"/>
            <w:tcBorders>
              <w:top w:val="single" w:sz="4" w:space="0" w:color="000000"/>
              <w:left w:val="single" w:sz="4" w:space="0" w:color="000000"/>
              <w:bottom w:val="single" w:sz="4" w:space="0" w:color="000000"/>
            </w:tcBorders>
            <w:shd w:val="clear" w:color="auto" w:fill="2F5D50"/>
          </w:tcPr>
          <w:p w14:paraId="39B6B57D" w14:textId="77777777" w:rsidR="00634E30" w:rsidRDefault="00000000">
            <w:pPr>
              <w:pStyle w:val="TableHeading"/>
            </w:pPr>
            <w:r>
              <w:t>GHG (tCO2e)</w:t>
            </w:r>
          </w:p>
        </w:tc>
        <w:tc>
          <w:tcPr>
            <w:tcW w:w="2466" w:type="dxa"/>
            <w:tcBorders>
              <w:top w:val="single" w:sz="4" w:space="0" w:color="000000"/>
              <w:left w:val="single" w:sz="4" w:space="0" w:color="000000"/>
              <w:bottom w:val="single" w:sz="4" w:space="0" w:color="000000"/>
            </w:tcBorders>
            <w:shd w:val="clear" w:color="auto" w:fill="2F5D50"/>
          </w:tcPr>
          <w:p w14:paraId="315D6157" w14:textId="77777777" w:rsidR="00634E30" w:rsidRDefault="00000000">
            <w:pPr>
              <w:pStyle w:val="TableHeading"/>
            </w:pPr>
            <w:r>
              <w:t>Renewable energy</w:t>
            </w:r>
          </w:p>
        </w:tc>
        <w:tc>
          <w:tcPr>
            <w:tcW w:w="2467" w:type="dxa"/>
            <w:tcBorders>
              <w:top w:val="single" w:sz="4" w:space="0" w:color="000000"/>
              <w:left w:val="single" w:sz="4" w:space="0" w:color="000000"/>
              <w:bottom w:val="single" w:sz="4" w:space="0" w:color="000000"/>
              <w:right w:val="single" w:sz="4" w:space="0" w:color="000000"/>
            </w:tcBorders>
            <w:shd w:val="clear" w:color="auto" w:fill="2F5D50"/>
          </w:tcPr>
          <w:p w14:paraId="666C13C8" w14:textId="77777777" w:rsidR="00634E30" w:rsidRDefault="00000000">
            <w:pPr>
              <w:pStyle w:val="TableHeading"/>
            </w:pPr>
            <w:r>
              <w:t>Water (m³)</w:t>
            </w:r>
          </w:p>
        </w:tc>
      </w:tr>
      <w:tr w:rsidR="00634E30" w14:paraId="7945F946" w14:textId="77777777">
        <w:tc>
          <w:tcPr>
            <w:tcW w:w="2466" w:type="dxa"/>
            <w:tcBorders>
              <w:left w:val="single" w:sz="4" w:space="0" w:color="000000"/>
              <w:bottom w:val="single" w:sz="4" w:space="0" w:color="000000"/>
            </w:tcBorders>
          </w:tcPr>
          <w:p w14:paraId="374048DC" w14:textId="77777777" w:rsidR="00634E30" w:rsidRDefault="00000000">
            <w:pPr>
              <w:pStyle w:val="TableContents"/>
            </w:pPr>
            <w:r>
              <w:t>Mumbai Plant</w:t>
            </w:r>
          </w:p>
        </w:tc>
        <w:tc>
          <w:tcPr>
            <w:tcW w:w="2467" w:type="dxa"/>
            <w:tcBorders>
              <w:left w:val="single" w:sz="4" w:space="0" w:color="000000"/>
              <w:bottom w:val="single" w:sz="4" w:space="0" w:color="000000"/>
            </w:tcBorders>
          </w:tcPr>
          <w:p w14:paraId="3837FB8F" w14:textId="77777777" w:rsidR="00634E30" w:rsidRDefault="00000000">
            <w:pPr>
              <w:pStyle w:val="TableContents"/>
            </w:pPr>
            <w:r>
              <w:t>4,626</w:t>
            </w:r>
          </w:p>
        </w:tc>
        <w:tc>
          <w:tcPr>
            <w:tcW w:w="2466" w:type="dxa"/>
            <w:tcBorders>
              <w:left w:val="single" w:sz="4" w:space="0" w:color="000000"/>
              <w:bottom w:val="single" w:sz="4" w:space="0" w:color="000000"/>
            </w:tcBorders>
          </w:tcPr>
          <w:p w14:paraId="56BA7C68" w14:textId="77777777" w:rsidR="00634E30" w:rsidRDefault="00000000">
            <w:pPr>
              <w:pStyle w:val="TableContents"/>
            </w:pPr>
            <w:r>
              <w:t>43.4%</w:t>
            </w:r>
          </w:p>
        </w:tc>
        <w:tc>
          <w:tcPr>
            <w:tcW w:w="2467" w:type="dxa"/>
            <w:tcBorders>
              <w:left w:val="single" w:sz="4" w:space="0" w:color="000000"/>
              <w:bottom w:val="single" w:sz="4" w:space="0" w:color="000000"/>
              <w:right w:val="single" w:sz="4" w:space="0" w:color="000000"/>
            </w:tcBorders>
          </w:tcPr>
          <w:p w14:paraId="4B438B5B" w14:textId="77777777" w:rsidR="00634E30" w:rsidRDefault="00000000">
            <w:pPr>
              <w:pStyle w:val="TableContents"/>
            </w:pPr>
            <w:r>
              <w:t>98,655</w:t>
            </w:r>
          </w:p>
        </w:tc>
      </w:tr>
      <w:tr w:rsidR="00634E30" w14:paraId="41C83B69" w14:textId="77777777">
        <w:tc>
          <w:tcPr>
            <w:tcW w:w="2466" w:type="dxa"/>
            <w:tcBorders>
              <w:left w:val="single" w:sz="4" w:space="0" w:color="000000"/>
              <w:bottom w:val="single" w:sz="4" w:space="0" w:color="000000"/>
            </w:tcBorders>
          </w:tcPr>
          <w:p w14:paraId="0C78DCC2" w14:textId="77777777" w:rsidR="00634E30" w:rsidRDefault="00000000">
            <w:pPr>
              <w:pStyle w:val="TableContents"/>
            </w:pPr>
            <w:r>
              <w:t>Pune Plant</w:t>
            </w:r>
          </w:p>
        </w:tc>
        <w:tc>
          <w:tcPr>
            <w:tcW w:w="2467" w:type="dxa"/>
            <w:tcBorders>
              <w:left w:val="single" w:sz="4" w:space="0" w:color="000000"/>
              <w:bottom w:val="single" w:sz="4" w:space="0" w:color="000000"/>
            </w:tcBorders>
          </w:tcPr>
          <w:p w14:paraId="13B9A85D" w14:textId="77777777" w:rsidR="00634E30" w:rsidRDefault="00000000">
            <w:pPr>
              <w:pStyle w:val="TableContents"/>
            </w:pPr>
            <w:r>
              <w:t>3,947</w:t>
            </w:r>
          </w:p>
        </w:tc>
        <w:tc>
          <w:tcPr>
            <w:tcW w:w="2466" w:type="dxa"/>
            <w:tcBorders>
              <w:left w:val="single" w:sz="4" w:space="0" w:color="000000"/>
              <w:bottom w:val="single" w:sz="4" w:space="0" w:color="000000"/>
            </w:tcBorders>
          </w:tcPr>
          <w:p w14:paraId="547CBFDE" w14:textId="77777777" w:rsidR="00634E30" w:rsidRDefault="00000000">
            <w:pPr>
              <w:pStyle w:val="TableContents"/>
            </w:pPr>
            <w:r>
              <w:t>43.5%</w:t>
            </w:r>
          </w:p>
        </w:tc>
        <w:tc>
          <w:tcPr>
            <w:tcW w:w="2467" w:type="dxa"/>
            <w:tcBorders>
              <w:left w:val="single" w:sz="4" w:space="0" w:color="000000"/>
              <w:bottom w:val="single" w:sz="4" w:space="0" w:color="000000"/>
              <w:right w:val="single" w:sz="4" w:space="0" w:color="000000"/>
            </w:tcBorders>
          </w:tcPr>
          <w:p w14:paraId="50D97772" w14:textId="77777777" w:rsidR="00634E30" w:rsidRDefault="00000000">
            <w:pPr>
              <w:pStyle w:val="TableContents"/>
            </w:pPr>
            <w:r>
              <w:t>85,140</w:t>
            </w:r>
          </w:p>
        </w:tc>
      </w:tr>
      <w:tr w:rsidR="00634E30" w14:paraId="3F5AA8C1" w14:textId="77777777">
        <w:tc>
          <w:tcPr>
            <w:tcW w:w="2466" w:type="dxa"/>
            <w:tcBorders>
              <w:left w:val="single" w:sz="4" w:space="0" w:color="000000"/>
              <w:bottom w:val="single" w:sz="4" w:space="0" w:color="000000"/>
            </w:tcBorders>
          </w:tcPr>
          <w:p w14:paraId="399C13AC" w14:textId="77777777" w:rsidR="00634E30" w:rsidRDefault="00000000">
            <w:pPr>
              <w:pStyle w:val="TableContents"/>
            </w:pPr>
            <w:r>
              <w:t>Ahmedabad Plant</w:t>
            </w:r>
          </w:p>
        </w:tc>
        <w:tc>
          <w:tcPr>
            <w:tcW w:w="2467" w:type="dxa"/>
            <w:tcBorders>
              <w:left w:val="single" w:sz="4" w:space="0" w:color="000000"/>
              <w:bottom w:val="single" w:sz="4" w:space="0" w:color="000000"/>
            </w:tcBorders>
          </w:tcPr>
          <w:p w14:paraId="33AB6FDF" w14:textId="77777777" w:rsidR="00634E30" w:rsidRDefault="00000000">
            <w:pPr>
              <w:pStyle w:val="TableContents"/>
            </w:pPr>
            <w:r>
              <w:t>3,607</w:t>
            </w:r>
          </w:p>
        </w:tc>
        <w:tc>
          <w:tcPr>
            <w:tcW w:w="2466" w:type="dxa"/>
            <w:tcBorders>
              <w:left w:val="single" w:sz="4" w:space="0" w:color="000000"/>
              <w:bottom w:val="single" w:sz="4" w:space="0" w:color="000000"/>
            </w:tcBorders>
          </w:tcPr>
          <w:p w14:paraId="52EF954D" w14:textId="77777777" w:rsidR="00634E30" w:rsidRDefault="00000000">
            <w:pPr>
              <w:pStyle w:val="TableContents"/>
            </w:pPr>
            <w:r>
              <w:t>42.6%</w:t>
            </w:r>
          </w:p>
        </w:tc>
        <w:tc>
          <w:tcPr>
            <w:tcW w:w="2467" w:type="dxa"/>
            <w:tcBorders>
              <w:left w:val="single" w:sz="4" w:space="0" w:color="000000"/>
              <w:bottom w:val="single" w:sz="4" w:space="0" w:color="000000"/>
              <w:right w:val="single" w:sz="4" w:space="0" w:color="000000"/>
            </w:tcBorders>
          </w:tcPr>
          <w:p w14:paraId="4C3F9C44" w14:textId="77777777" w:rsidR="00634E30" w:rsidRDefault="00000000">
            <w:pPr>
              <w:pStyle w:val="TableContents"/>
            </w:pPr>
            <w:r>
              <w:t>77,726</w:t>
            </w:r>
          </w:p>
        </w:tc>
      </w:tr>
      <w:tr w:rsidR="00634E30" w14:paraId="765EF0E6" w14:textId="77777777">
        <w:tc>
          <w:tcPr>
            <w:tcW w:w="2466" w:type="dxa"/>
            <w:tcBorders>
              <w:left w:val="single" w:sz="4" w:space="0" w:color="000000"/>
              <w:bottom w:val="single" w:sz="4" w:space="0" w:color="000000"/>
            </w:tcBorders>
          </w:tcPr>
          <w:p w14:paraId="1408DBF8" w14:textId="77777777" w:rsidR="00634E30" w:rsidRDefault="00000000">
            <w:pPr>
              <w:pStyle w:val="TableContents"/>
            </w:pPr>
            <w:r>
              <w:t>Bengaluru Plant</w:t>
            </w:r>
          </w:p>
        </w:tc>
        <w:tc>
          <w:tcPr>
            <w:tcW w:w="2467" w:type="dxa"/>
            <w:tcBorders>
              <w:left w:val="single" w:sz="4" w:space="0" w:color="000000"/>
              <w:bottom w:val="single" w:sz="4" w:space="0" w:color="000000"/>
            </w:tcBorders>
          </w:tcPr>
          <w:p w14:paraId="32EB6321" w14:textId="77777777" w:rsidR="00634E30" w:rsidRDefault="00000000">
            <w:pPr>
              <w:pStyle w:val="TableContents"/>
            </w:pPr>
            <w:r>
              <w:t>3,408</w:t>
            </w:r>
          </w:p>
        </w:tc>
        <w:tc>
          <w:tcPr>
            <w:tcW w:w="2466" w:type="dxa"/>
            <w:tcBorders>
              <w:left w:val="single" w:sz="4" w:space="0" w:color="000000"/>
              <w:bottom w:val="single" w:sz="4" w:space="0" w:color="000000"/>
            </w:tcBorders>
          </w:tcPr>
          <w:p w14:paraId="0B46BF02" w14:textId="77777777" w:rsidR="00634E30" w:rsidRDefault="00000000">
            <w:pPr>
              <w:pStyle w:val="TableContents"/>
            </w:pPr>
            <w:r>
              <w:t>45.1%</w:t>
            </w:r>
          </w:p>
        </w:tc>
        <w:tc>
          <w:tcPr>
            <w:tcW w:w="2467" w:type="dxa"/>
            <w:tcBorders>
              <w:left w:val="single" w:sz="4" w:space="0" w:color="000000"/>
              <w:bottom w:val="single" w:sz="4" w:space="0" w:color="000000"/>
              <w:right w:val="single" w:sz="4" w:space="0" w:color="000000"/>
            </w:tcBorders>
          </w:tcPr>
          <w:p w14:paraId="341A7749" w14:textId="77777777" w:rsidR="00634E30" w:rsidRDefault="00000000">
            <w:pPr>
              <w:pStyle w:val="TableContents"/>
            </w:pPr>
            <w:r>
              <w:t>73,436</w:t>
            </w:r>
          </w:p>
        </w:tc>
      </w:tr>
      <w:tr w:rsidR="00634E30" w14:paraId="0A0A71ED" w14:textId="77777777">
        <w:tc>
          <w:tcPr>
            <w:tcW w:w="2466" w:type="dxa"/>
            <w:tcBorders>
              <w:left w:val="single" w:sz="4" w:space="0" w:color="000000"/>
              <w:bottom w:val="single" w:sz="4" w:space="0" w:color="000000"/>
            </w:tcBorders>
          </w:tcPr>
          <w:p w14:paraId="334CAF67" w14:textId="77777777" w:rsidR="00634E30" w:rsidRDefault="00000000">
            <w:pPr>
              <w:pStyle w:val="TableContents"/>
            </w:pPr>
            <w:r>
              <w:t>Chennai Plant</w:t>
            </w:r>
          </w:p>
        </w:tc>
        <w:tc>
          <w:tcPr>
            <w:tcW w:w="2467" w:type="dxa"/>
            <w:tcBorders>
              <w:left w:val="single" w:sz="4" w:space="0" w:color="000000"/>
              <w:bottom w:val="single" w:sz="4" w:space="0" w:color="000000"/>
            </w:tcBorders>
          </w:tcPr>
          <w:p w14:paraId="1FF1C209" w14:textId="77777777" w:rsidR="00634E30" w:rsidRDefault="00000000">
            <w:pPr>
              <w:pStyle w:val="TableContents"/>
            </w:pPr>
            <w:r>
              <w:t>3,002</w:t>
            </w:r>
          </w:p>
        </w:tc>
        <w:tc>
          <w:tcPr>
            <w:tcW w:w="2466" w:type="dxa"/>
            <w:tcBorders>
              <w:left w:val="single" w:sz="4" w:space="0" w:color="000000"/>
              <w:bottom w:val="single" w:sz="4" w:space="0" w:color="000000"/>
            </w:tcBorders>
          </w:tcPr>
          <w:p w14:paraId="18AD8EEA" w14:textId="77777777" w:rsidR="00634E30" w:rsidRDefault="00000000">
            <w:pPr>
              <w:pStyle w:val="TableContents"/>
            </w:pPr>
            <w:r>
              <w:t>45.3%</w:t>
            </w:r>
          </w:p>
        </w:tc>
        <w:tc>
          <w:tcPr>
            <w:tcW w:w="2467" w:type="dxa"/>
            <w:tcBorders>
              <w:left w:val="single" w:sz="4" w:space="0" w:color="000000"/>
              <w:bottom w:val="single" w:sz="4" w:space="0" w:color="000000"/>
              <w:right w:val="single" w:sz="4" w:space="0" w:color="000000"/>
            </w:tcBorders>
          </w:tcPr>
          <w:p w14:paraId="555070F6" w14:textId="77777777" w:rsidR="00634E30" w:rsidRDefault="00000000">
            <w:pPr>
              <w:pStyle w:val="TableContents"/>
            </w:pPr>
            <w:r>
              <w:t>64,783</w:t>
            </w:r>
          </w:p>
        </w:tc>
      </w:tr>
    </w:tbl>
    <w:p w14:paraId="4DC13B6E" w14:textId="77777777" w:rsidR="00634E30" w:rsidRDefault="00634E30">
      <w:pPr>
        <w:spacing w:after="68"/>
        <w:jc w:val="center"/>
        <w:rPr>
          <w:color w:val="2F5D50"/>
          <w:sz w:val="20"/>
        </w:rPr>
      </w:pPr>
    </w:p>
    <w:p w14:paraId="69D1BBAB" w14:textId="77777777" w:rsidR="0015115D" w:rsidRDefault="0015115D">
      <w:pPr>
        <w:spacing w:after="102"/>
        <w:jc w:val="center"/>
        <w:rPr>
          <w:b/>
          <w:color w:val="2F5D50"/>
          <w:sz w:val="40"/>
        </w:rPr>
      </w:pPr>
    </w:p>
    <w:p w14:paraId="0911DCDB" w14:textId="42DE6B93" w:rsidR="00634E30" w:rsidRDefault="00000000">
      <w:pPr>
        <w:spacing w:after="102"/>
        <w:jc w:val="center"/>
        <w:rPr>
          <w:b/>
          <w:color w:val="2F5D50"/>
          <w:sz w:val="40"/>
        </w:rPr>
      </w:pPr>
      <w:r>
        <w:rPr>
          <w:b/>
          <w:color w:val="2F5D50"/>
          <w:sz w:val="40"/>
        </w:rPr>
        <w:t>4. Social Performance</w:t>
      </w:r>
    </w:p>
    <w:p w14:paraId="0D5274A2" w14:textId="77777777" w:rsidR="00634E30" w:rsidRDefault="00000000">
      <w:pPr>
        <w:spacing w:after="68"/>
        <w:jc w:val="center"/>
        <w:rPr>
          <w:color w:val="2F5D50"/>
          <w:sz w:val="20"/>
        </w:rPr>
      </w:pPr>
      <w:r>
        <w:rPr>
          <w:color w:val="2F5D50"/>
          <w:sz w:val="20"/>
        </w:rPr>
        <w:t>The social pillar evaluates workforce size, gender representation, employee turnover, training investment and workplace safety.</w:t>
      </w:r>
    </w:p>
    <w:p w14:paraId="2F5131BC" w14:textId="77777777" w:rsidR="00634E30" w:rsidRDefault="00000000">
      <w:pPr>
        <w:spacing w:after="68"/>
        <w:jc w:val="center"/>
        <w:rPr>
          <w:color w:val="2F5D50"/>
          <w:sz w:val="20"/>
        </w:rPr>
      </w:pPr>
      <w:r>
        <w:rPr>
          <w:noProof/>
          <w:color w:val="2F5D50"/>
          <w:sz w:val="20"/>
        </w:rPr>
        <w:drawing>
          <wp:inline distT="0" distB="0" distL="0" distR="0" wp14:anchorId="243E33D0" wp14:editId="015684C3">
            <wp:extent cx="6120130" cy="2952115"/>
            <wp:effectExtent l="0" t="0" r="0" b="0"/>
            <wp:docPr id="3" name="Object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58EDCCB1" w14:textId="77777777" w:rsidR="00634E30" w:rsidRDefault="00000000">
      <w:pPr>
        <w:spacing w:after="91"/>
        <w:jc w:val="center"/>
        <w:rPr>
          <w:color w:val="2F5D50"/>
          <w:sz w:val="18"/>
        </w:rPr>
      </w:pPr>
      <w:r>
        <w:rPr>
          <w:color w:val="2F5D50"/>
          <w:sz w:val="18"/>
        </w:rPr>
        <w:t>Figure 3. Workforce diversity and employee-turnover trends, 2021–2025.</w:t>
      </w:r>
    </w:p>
    <w:p w14:paraId="35D28282" w14:textId="77777777" w:rsidR="00634E30" w:rsidRDefault="00000000">
      <w:pPr>
        <w:spacing w:after="68"/>
        <w:jc w:val="center"/>
        <w:rPr>
          <w:color w:val="2F5D50"/>
          <w:sz w:val="20"/>
        </w:rPr>
      </w:pPr>
      <w:r>
        <w:rPr>
          <w:color w:val="2F5D50"/>
          <w:sz w:val="20"/>
        </w:rPr>
        <w:t>The combined workforce increased from 13,692 to 14,730. Female representation rose from 27.0% to 34.6%, close to the 35% target.</w:t>
      </w:r>
    </w:p>
    <w:p w14:paraId="67E597C1" w14:textId="77777777" w:rsidR="00634E30" w:rsidRDefault="00000000">
      <w:pPr>
        <w:spacing w:after="68"/>
        <w:jc w:val="center"/>
        <w:rPr>
          <w:color w:val="2F5D50"/>
          <w:sz w:val="20"/>
        </w:rPr>
      </w:pPr>
      <w:r>
        <w:rPr>
          <w:color w:val="2F5D50"/>
          <w:sz w:val="20"/>
        </w:rPr>
        <w:t>Training hours increased from 27,335 to 51,009, while average turnover declined from 12.5% to 9.4%.</w:t>
      </w:r>
    </w:p>
    <w:p w14:paraId="6DFBC1D8" w14:textId="77777777" w:rsidR="00634E30" w:rsidRDefault="00000000">
      <w:pPr>
        <w:spacing w:after="68"/>
        <w:jc w:val="center"/>
        <w:rPr>
          <w:color w:val="2F5D50"/>
          <w:sz w:val="20"/>
        </w:rPr>
      </w:pPr>
      <w:r>
        <w:rPr>
          <w:color w:val="2F5D50"/>
          <w:sz w:val="20"/>
        </w:rPr>
        <w:t>Recordable injuries fell from 57 to 34, a 40.4% reduction, exceeding the 25% target.</w:t>
      </w:r>
    </w:p>
    <w:p w14:paraId="14B38457" w14:textId="77777777" w:rsidR="0015115D" w:rsidRDefault="0015115D">
      <w:pPr>
        <w:spacing w:after="68"/>
        <w:jc w:val="center"/>
        <w:rPr>
          <w:color w:val="2F5D50"/>
          <w:sz w:val="20"/>
        </w:rPr>
      </w:pPr>
    </w:p>
    <w:p w14:paraId="0A7F6892" w14:textId="77777777" w:rsidR="0015115D" w:rsidRDefault="0015115D">
      <w:pPr>
        <w:spacing w:after="68"/>
        <w:jc w:val="center"/>
        <w:rPr>
          <w:color w:val="2F5D50"/>
          <w:sz w:val="20"/>
        </w:rPr>
      </w:pPr>
    </w:p>
    <w:p w14:paraId="0189C253" w14:textId="77777777" w:rsidR="0015115D" w:rsidRDefault="0015115D">
      <w:pPr>
        <w:spacing w:after="68"/>
        <w:jc w:val="center"/>
        <w:rPr>
          <w:color w:val="2F5D50"/>
          <w:sz w:val="20"/>
        </w:rPr>
      </w:pPr>
    </w:p>
    <w:p w14:paraId="53EAB189" w14:textId="77777777" w:rsidR="0015115D" w:rsidRDefault="0015115D">
      <w:pPr>
        <w:spacing w:after="68"/>
        <w:jc w:val="center"/>
        <w:rPr>
          <w:color w:val="2F5D50"/>
          <w:sz w:val="20"/>
        </w:rPr>
      </w:pPr>
    </w:p>
    <w:p w14:paraId="20E020C8" w14:textId="77777777" w:rsidR="0015115D" w:rsidRDefault="0015115D">
      <w:pPr>
        <w:spacing w:after="68"/>
        <w:jc w:val="center"/>
        <w:rPr>
          <w:color w:val="2F5D50"/>
          <w:sz w:val="20"/>
        </w:rPr>
      </w:pPr>
    </w:p>
    <w:p w14:paraId="76578A29" w14:textId="77777777" w:rsidR="0015115D" w:rsidRDefault="0015115D">
      <w:pPr>
        <w:spacing w:after="68"/>
        <w:jc w:val="center"/>
        <w:rPr>
          <w:color w:val="2F5D50"/>
          <w:sz w:val="20"/>
        </w:rPr>
      </w:pPr>
    </w:p>
    <w:p w14:paraId="46D341DA" w14:textId="77777777" w:rsidR="0015115D" w:rsidRDefault="0015115D">
      <w:pPr>
        <w:spacing w:after="68"/>
        <w:jc w:val="center"/>
        <w:rPr>
          <w:color w:val="2F5D50"/>
          <w:sz w:val="20"/>
        </w:rPr>
      </w:pPr>
    </w:p>
    <w:p w14:paraId="4CC3755E" w14:textId="77777777" w:rsidR="0015115D" w:rsidRDefault="0015115D">
      <w:pPr>
        <w:spacing w:after="68"/>
        <w:jc w:val="center"/>
        <w:rPr>
          <w:color w:val="2F5D50"/>
          <w:sz w:val="20"/>
        </w:rPr>
      </w:pPr>
    </w:p>
    <w:p w14:paraId="4F2E2406" w14:textId="77777777" w:rsidR="0015115D" w:rsidRDefault="0015115D">
      <w:pPr>
        <w:spacing w:after="68"/>
        <w:jc w:val="center"/>
        <w:rPr>
          <w:color w:val="2F5D50"/>
          <w:sz w:val="20"/>
        </w:rPr>
      </w:pPr>
    </w:p>
    <w:p w14:paraId="1306EDB0" w14:textId="77777777" w:rsidR="0015115D" w:rsidRDefault="0015115D">
      <w:pPr>
        <w:spacing w:after="68"/>
        <w:jc w:val="center"/>
        <w:rPr>
          <w:color w:val="2F5D50"/>
          <w:sz w:val="20"/>
        </w:rPr>
      </w:pPr>
    </w:p>
    <w:p w14:paraId="243C3F2F" w14:textId="77777777" w:rsidR="0015115D" w:rsidRDefault="0015115D">
      <w:pPr>
        <w:spacing w:after="68"/>
        <w:jc w:val="center"/>
        <w:rPr>
          <w:color w:val="2F5D50"/>
          <w:sz w:val="20"/>
        </w:rPr>
      </w:pPr>
    </w:p>
    <w:p w14:paraId="50E79226" w14:textId="77777777" w:rsidR="0015115D" w:rsidRDefault="0015115D">
      <w:pPr>
        <w:spacing w:after="68"/>
        <w:jc w:val="center"/>
        <w:rPr>
          <w:color w:val="2F5D50"/>
          <w:sz w:val="20"/>
        </w:rPr>
      </w:pPr>
    </w:p>
    <w:p w14:paraId="1DBD99FE" w14:textId="77777777" w:rsidR="0015115D" w:rsidRDefault="0015115D">
      <w:pPr>
        <w:spacing w:after="68"/>
        <w:jc w:val="center"/>
        <w:rPr>
          <w:color w:val="2F5D50"/>
          <w:sz w:val="20"/>
        </w:rPr>
      </w:pPr>
    </w:p>
    <w:p w14:paraId="035B2D06" w14:textId="77777777" w:rsidR="0015115D" w:rsidRDefault="0015115D">
      <w:pPr>
        <w:spacing w:after="68"/>
        <w:jc w:val="center"/>
        <w:rPr>
          <w:color w:val="2F5D50"/>
          <w:sz w:val="20"/>
        </w:rPr>
      </w:pPr>
    </w:p>
    <w:p w14:paraId="2A67CC98" w14:textId="77777777" w:rsidR="0015115D" w:rsidRDefault="0015115D">
      <w:pPr>
        <w:spacing w:after="68"/>
        <w:jc w:val="center"/>
        <w:rPr>
          <w:color w:val="2F5D50"/>
          <w:sz w:val="20"/>
        </w:rPr>
      </w:pPr>
    </w:p>
    <w:p w14:paraId="5F63F841" w14:textId="77777777" w:rsidR="0015115D" w:rsidRDefault="0015115D">
      <w:pPr>
        <w:spacing w:after="68"/>
        <w:jc w:val="center"/>
        <w:rPr>
          <w:color w:val="2F5D50"/>
          <w:sz w:val="20"/>
        </w:rPr>
      </w:pPr>
    </w:p>
    <w:p w14:paraId="6E486989" w14:textId="77777777" w:rsidR="00634E30" w:rsidRDefault="00000000">
      <w:pPr>
        <w:spacing w:after="102"/>
        <w:jc w:val="center"/>
        <w:rPr>
          <w:b/>
          <w:color w:val="2F5D50"/>
          <w:sz w:val="40"/>
        </w:rPr>
      </w:pPr>
      <w:r>
        <w:rPr>
          <w:b/>
          <w:color w:val="2F5D50"/>
          <w:sz w:val="40"/>
        </w:rPr>
        <w:t>5. Governance Performance</w:t>
      </w:r>
    </w:p>
    <w:p w14:paraId="6B05A687" w14:textId="77777777" w:rsidR="00634E30" w:rsidRDefault="00000000">
      <w:pPr>
        <w:spacing w:after="68"/>
        <w:jc w:val="center"/>
        <w:rPr>
          <w:color w:val="2F5D50"/>
          <w:sz w:val="20"/>
        </w:rPr>
      </w:pPr>
      <w:r>
        <w:rPr>
          <w:color w:val="2F5D50"/>
          <w:sz w:val="20"/>
        </w:rPr>
        <w:t>Governance indicators cover board composition, independence, gender representation, ethics training, compliance incidents and data privacy incidents.</w:t>
      </w:r>
    </w:p>
    <w:p w14:paraId="52D26953" w14:textId="77777777" w:rsidR="00634E30" w:rsidRDefault="00000000">
      <w:pPr>
        <w:spacing w:after="68"/>
        <w:jc w:val="center"/>
        <w:rPr>
          <w:color w:val="2F5D50"/>
          <w:sz w:val="20"/>
        </w:rPr>
      </w:pPr>
      <w:r>
        <w:rPr>
          <w:noProof/>
          <w:color w:val="2F5D50"/>
          <w:sz w:val="20"/>
        </w:rPr>
        <w:drawing>
          <wp:inline distT="0" distB="0" distL="0" distR="0" wp14:anchorId="6F2FEA47" wp14:editId="1C3BA3E7">
            <wp:extent cx="6120130" cy="2952115"/>
            <wp:effectExtent l="0" t="0" r="0" b="0"/>
            <wp:docPr id="4" name="Object4"/>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D1F7EB9" w14:textId="77777777" w:rsidR="00634E30" w:rsidRDefault="00000000">
      <w:pPr>
        <w:spacing w:after="91"/>
        <w:jc w:val="center"/>
        <w:rPr>
          <w:color w:val="2F5D50"/>
          <w:sz w:val="18"/>
        </w:rPr>
      </w:pPr>
      <w:r>
        <w:rPr>
          <w:color w:val="2F5D50"/>
          <w:sz w:val="18"/>
        </w:rPr>
        <w:t>Figure 4. Governance performance trends, 2021–2025.</w:t>
      </w:r>
    </w:p>
    <w:p w14:paraId="6C4D7CC9" w14:textId="77777777" w:rsidR="00634E30" w:rsidRDefault="00000000">
      <w:pPr>
        <w:spacing w:after="68"/>
        <w:jc w:val="center"/>
        <w:rPr>
          <w:color w:val="2F5D50"/>
          <w:sz w:val="20"/>
        </w:rPr>
      </w:pPr>
      <w:r>
        <w:rPr>
          <w:color w:val="2F5D50"/>
          <w:sz w:val="20"/>
        </w:rPr>
        <w:t>Independent-director representation increased from 50.2% to 62.1%, while ethics training completion increased from 90.9% to 97.3%.</w:t>
      </w:r>
    </w:p>
    <w:p w14:paraId="23993077" w14:textId="77777777" w:rsidR="0015115D" w:rsidRDefault="00000000" w:rsidP="0015115D">
      <w:pPr>
        <w:spacing w:after="68"/>
        <w:jc w:val="center"/>
      </w:pPr>
      <w:r>
        <w:rPr>
          <w:color w:val="2F5D50"/>
          <w:sz w:val="20"/>
        </w:rPr>
        <w:t>Compliance incidents declined from 30 in 2021 to 12 in 2025, a 60.0% reduction. Data privacy incidents should remain under active monitoring.</w:t>
      </w:r>
    </w:p>
    <w:p w14:paraId="5AB59773" w14:textId="77777777" w:rsidR="0015115D" w:rsidRDefault="0015115D" w:rsidP="0015115D">
      <w:pPr>
        <w:spacing w:after="68"/>
        <w:jc w:val="center"/>
      </w:pPr>
    </w:p>
    <w:p w14:paraId="5E920B51" w14:textId="77777777" w:rsidR="0015115D" w:rsidRDefault="0015115D" w:rsidP="0015115D">
      <w:pPr>
        <w:spacing w:after="68"/>
        <w:jc w:val="center"/>
      </w:pPr>
    </w:p>
    <w:p w14:paraId="7B59A97F" w14:textId="037FF2CB" w:rsidR="00634E30" w:rsidRPr="0015115D" w:rsidRDefault="00000000" w:rsidP="0015115D">
      <w:pPr>
        <w:spacing w:after="68"/>
        <w:jc w:val="center"/>
        <w:rPr>
          <w:color w:val="2F5D50"/>
          <w:sz w:val="20"/>
        </w:rPr>
      </w:pPr>
      <w:r>
        <w:rPr>
          <w:b/>
          <w:color w:val="2F5D50"/>
          <w:sz w:val="40"/>
        </w:rPr>
        <w:t>6. ESG Targets &amp; Progress</w:t>
      </w:r>
    </w:p>
    <w:p w14:paraId="39C86A45" w14:textId="77777777" w:rsidR="00634E30" w:rsidRDefault="00000000">
      <w:pPr>
        <w:spacing w:after="68"/>
        <w:jc w:val="center"/>
        <w:rPr>
          <w:color w:val="2F5D50"/>
          <w:sz w:val="20"/>
        </w:rPr>
      </w:pPr>
      <w:r>
        <w:rPr>
          <w:color w:val="2F5D50"/>
          <w:sz w:val="20"/>
        </w:rPr>
        <w:t>Targets are assessed against the 2021 baseline and 2025 outcome. Status reflects the direction defined in the project target set.</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64"/>
        <w:gridCol w:w="2464"/>
        <w:gridCol w:w="2464"/>
        <w:gridCol w:w="2464"/>
      </w:tblGrid>
      <w:tr w:rsidR="00634E30" w14:paraId="69380A1F" w14:textId="77777777">
        <w:tc>
          <w:tcPr>
            <w:tcW w:w="2466" w:type="dxa"/>
            <w:tcBorders>
              <w:top w:val="single" w:sz="4" w:space="0" w:color="000000"/>
              <w:left w:val="single" w:sz="4" w:space="0" w:color="000000"/>
              <w:bottom w:val="single" w:sz="4" w:space="0" w:color="000000"/>
            </w:tcBorders>
            <w:shd w:val="clear" w:color="auto" w:fill="2F5D50"/>
          </w:tcPr>
          <w:p w14:paraId="58A199BA" w14:textId="77777777" w:rsidR="00634E30" w:rsidRDefault="00000000">
            <w:pPr>
              <w:pStyle w:val="TableHeading"/>
            </w:pPr>
            <w:r>
              <w:t>KPI</w:t>
            </w:r>
          </w:p>
        </w:tc>
        <w:tc>
          <w:tcPr>
            <w:tcW w:w="2467" w:type="dxa"/>
            <w:tcBorders>
              <w:top w:val="single" w:sz="4" w:space="0" w:color="000000"/>
              <w:left w:val="single" w:sz="4" w:space="0" w:color="000000"/>
              <w:bottom w:val="single" w:sz="4" w:space="0" w:color="000000"/>
            </w:tcBorders>
            <w:shd w:val="clear" w:color="auto" w:fill="2F5D50"/>
          </w:tcPr>
          <w:p w14:paraId="4A936B68" w14:textId="77777777" w:rsidR="00634E30" w:rsidRDefault="00000000">
            <w:pPr>
              <w:pStyle w:val="TableHeading"/>
            </w:pPr>
            <w:r>
              <w:t>2025 target</w:t>
            </w:r>
          </w:p>
        </w:tc>
        <w:tc>
          <w:tcPr>
            <w:tcW w:w="2466" w:type="dxa"/>
            <w:tcBorders>
              <w:top w:val="single" w:sz="4" w:space="0" w:color="000000"/>
              <w:left w:val="single" w:sz="4" w:space="0" w:color="000000"/>
              <w:bottom w:val="single" w:sz="4" w:space="0" w:color="000000"/>
            </w:tcBorders>
            <w:shd w:val="clear" w:color="auto" w:fill="2F5D50"/>
          </w:tcPr>
          <w:p w14:paraId="148C51C5" w14:textId="77777777" w:rsidR="00634E30" w:rsidRDefault="00000000">
            <w:pPr>
              <w:pStyle w:val="TableHeading"/>
            </w:pPr>
            <w:r>
              <w:t>2025 result</w:t>
            </w:r>
          </w:p>
        </w:tc>
        <w:tc>
          <w:tcPr>
            <w:tcW w:w="2467" w:type="dxa"/>
            <w:tcBorders>
              <w:top w:val="single" w:sz="4" w:space="0" w:color="000000"/>
              <w:left w:val="single" w:sz="4" w:space="0" w:color="000000"/>
              <w:bottom w:val="single" w:sz="4" w:space="0" w:color="000000"/>
              <w:right w:val="single" w:sz="4" w:space="0" w:color="000000"/>
            </w:tcBorders>
            <w:shd w:val="clear" w:color="auto" w:fill="2F5D50"/>
          </w:tcPr>
          <w:p w14:paraId="6629B600" w14:textId="77777777" w:rsidR="00634E30" w:rsidRDefault="00000000">
            <w:pPr>
              <w:pStyle w:val="TableHeading"/>
            </w:pPr>
            <w:r>
              <w:t>Status</w:t>
            </w:r>
          </w:p>
        </w:tc>
      </w:tr>
      <w:tr w:rsidR="00634E30" w14:paraId="6CC81037" w14:textId="77777777">
        <w:tc>
          <w:tcPr>
            <w:tcW w:w="2466" w:type="dxa"/>
            <w:tcBorders>
              <w:left w:val="single" w:sz="4" w:space="0" w:color="000000"/>
              <w:bottom w:val="single" w:sz="4" w:space="0" w:color="000000"/>
            </w:tcBorders>
          </w:tcPr>
          <w:p w14:paraId="25E92539" w14:textId="77777777" w:rsidR="00634E30" w:rsidRDefault="00000000">
            <w:pPr>
              <w:pStyle w:val="TableContents"/>
            </w:pPr>
            <w:r>
              <w:t>Scope 1+2 emissions</w:t>
            </w:r>
          </w:p>
        </w:tc>
        <w:tc>
          <w:tcPr>
            <w:tcW w:w="2467" w:type="dxa"/>
            <w:tcBorders>
              <w:left w:val="single" w:sz="4" w:space="0" w:color="000000"/>
              <w:bottom w:val="single" w:sz="4" w:space="0" w:color="000000"/>
            </w:tcBorders>
          </w:tcPr>
          <w:p w14:paraId="7C45CD00" w14:textId="77777777" w:rsidR="00634E30" w:rsidRDefault="00000000">
            <w:pPr>
              <w:pStyle w:val="TableContents"/>
            </w:pPr>
            <w:r>
              <w:t>Reduce 20%</w:t>
            </w:r>
          </w:p>
        </w:tc>
        <w:tc>
          <w:tcPr>
            <w:tcW w:w="2466" w:type="dxa"/>
            <w:tcBorders>
              <w:left w:val="single" w:sz="4" w:space="0" w:color="000000"/>
              <w:bottom w:val="single" w:sz="4" w:space="0" w:color="000000"/>
            </w:tcBorders>
          </w:tcPr>
          <w:p w14:paraId="1CD67C47" w14:textId="77777777" w:rsidR="00634E30" w:rsidRDefault="00000000">
            <w:pPr>
              <w:pStyle w:val="TableContents"/>
            </w:pPr>
            <w:r>
              <w:t>9.0% reduction</w:t>
            </w:r>
          </w:p>
        </w:tc>
        <w:tc>
          <w:tcPr>
            <w:tcW w:w="2467" w:type="dxa"/>
            <w:tcBorders>
              <w:left w:val="single" w:sz="4" w:space="0" w:color="000000"/>
              <w:bottom w:val="single" w:sz="4" w:space="0" w:color="000000"/>
              <w:right w:val="single" w:sz="4" w:space="0" w:color="000000"/>
            </w:tcBorders>
          </w:tcPr>
          <w:p w14:paraId="6B6A6C42" w14:textId="77777777" w:rsidR="00634E30" w:rsidRDefault="00000000">
            <w:pPr>
              <w:pStyle w:val="TableContents"/>
            </w:pPr>
            <w:r>
              <w:t>Not achieved</w:t>
            </w:r>
          </w:p>
        </w:tc>
      </w:tr>
      <w:tr w:rsidR="00634E30" w14:paraId="6AFFDB75" w14:textId="77777777">
        <w:tc>
          <w:tcPr>
            <w:tcW w:w="2466" w:type="dxa"/>
            <w:tcBorders>
              <w:left w:val="single" w:sz="4" w:space="0" w:color="000000"/>
              <w:bottom w:val="single" w:sz="4" w:space="0" w:color="000000"/>
            </w:tcBorders>
          </w:tcPr>
          <w:p w14:paraId="52231214" w14:textId="77777777" w:rsidR="00634E30" w:rsidRDefault="00000000">
            <w:pPr>
              <w:pStyle w:val="TableContents"/>
            </w:pPr>
            <w:r>
              <w:t>Renewable energy</w:t>
            </w:r>
          </w:p>
        </w:tc>
        <w:tc>
          <w:tcPr>
            <w:tcW w:w="2467" w:type="dxa"/>
            <w:tcBorders>
              <w:left w:val="single" w:sz="4" w:space="0" w:color="000000"/>
              <w:bottom w:val="single" w:sz="4" w:space="0" w:color="000000"/>
            </w:tcBorders>
          </w:tcPr>
          <w:p w14:paraId="26796C19" w14:textId="77777777" w:rsidR="00634E30" w:rsidRDefault="00000000">
            <w:pPr>
              <w:pStyle w:val="TableContents"/>
            </w:pPr>
            <w:r>
              <w:t>Reach 45%</w:t>
            </w:r>
          </w:p>
        </w:tc>
        <w:tc>
          <w:tcPr>
            <w:tcW w:w="2466" w:type="dxa"/>
            <w:tcBorders>
              <w:left w:val="single" w:sz="4" w:space="0" w:color="000000"/>
              <w:bottom w:val="single" w:sz="4" w:space="0" w:color="000000"/>
            </w:tcBorders>
          </w:tcPr>
          <w:p w14:paraId="1B34C4F7" w14:textId="77777777" w:rsidR="00634E30" w:rsidRDefault="00000000">
            <w:pPr>
              <w:pStyle w:val="TableContents"/>
            </w:pPr>
            <w:r>
              <w:t>43.9%</w:t>
            </w:r>
          </w:p>
        </w:tc>
        <w:tc>
          <w:tcPr>
            <w:tcW w:w="2467" w:type="dxa"/>
            <w:tcBorders>
              <w:left w:val="single" w:sz="4" w:space="0" w:color="000000"/>
              <w:bottom w:val="single" w:sz="4" w:space="0" w:color="000000"/>
              <w:right w:val="single" w:sz="4" w:space="0" w:color="000000"/>
            </w:tcBorders>
          </w:tcPr>
          <w:p w14:paraId="5274EEF4" w14:textId="77777777" w:rsidR="00634E30" w:rsidRDefault="00000000">
            <w:pPr>
              <w:pStyle w:val="TableContents"/>
            </w:pPr>
            <w:r>
              <w:t>Near target</w:t>
            </w:r>
          </w:p>
        </w:tc>
      </w:tr>
      <w:tr w:rsidR="00634E30" w14:paraId="2282523D" w14:textId="77777777">
        <w:tc>
          <w:tcPr>
            <w:tcW w:w="2466" w:type="dxa"/>
            <w:tcBorders>
              <w:left w:val="single" w:sz="4" w:space="0" w:color="000000"/>
              <w:bottom w:val="single" w:sz="4" w:space="0" w:color="000000"/>
            </w:tcBorders>
          </w:tcPr>
          <w:p w14:paraId="74930904" w14:textId="77777777" w:rsidR="00634E30" w:rsidRDefault="00000000">
            <w:pPr>
              <w:pStyle w:val="TableContents"/>
            </w:pPr>
            <w:r>
              <w:t>Waste recycling</w:t>
            </w:r>
          </w:p>
        </w:tc>
        <w:tc>
          <w:tcPr>
            <w:tcW w:w="2467" w:type="dxa"/>
            <w:tcBorders>
              <w:left w:val="single" w:sz="4" w:space="0" w:color="000000"/>
              <w:bottom w:val="single" w:sz="4" w:space="0" w:color="000000"/>
            </w:tcBorders>
          </w:tcPr>
          <w:p w14:paraId="47CDE5D9" w14:textId="77777777" w:rsidR="00634E30" w:rsidRDefault="00000000">
            <w:pPr>
              <w:pStyle w:val="TableContents"/>
            </w:pPr>
            <w:r>
              <w:t>Reach 85%</w:t>
            </w:r>
          </w:p>
        </w:tc>
        <w:tc>
          <w:tcPr>
            <w:tcW w:w="2466" w:type="dxa"/>
            <w:tcBorders>
              <w:left w:val="single" w:sz="4" w:space="0" w:color="000000"/>
              <w:bottom w:val="single" w:sz="4" w:space="0" w:color="000000"/>
            </w:tcBorders>
          </w:tcPr>
          <w:p w14:paraId="40F7985D" w14:textId="77777777" w:rsidR="00634E30" w:rsidRDefault="00000000">
            <w:pPr>
              <w:pStyle w:val="TableContents"/>
            </w:pPr>
            <w:r>
              <w:t>83.4%</w:t>
            </w:r>
          </w:p>
        </w:tc>
        <w:tc>
          <w:tcPr>
            <w:tcW w:w="2467" w:type="dxa"/>
            <w:tcBorders>
              <w:left w:val="single" w:sz="4" w:space="0" w:color="000000"/>
              <w:bottom w:val="single" w:sz="4" w:space="0" w:color="000000"/>
              <w:right w:val="single" w:sz="4" w:space="0" w:color="000000"/>
            </w:tcBorders>
          </w:tcPr>
          <w:p w14:paraId="759CFC27" w14:textId="77777777" w:rsidR="00634E30" w:rsidRDefault="00000000">
            <w:pPr>
              <w:pStyle w:val="TableContents"/>
            </w:pPr>
            <w:r>
              <w:t>Near target</w:t>
            </w:r>
          </w:p>
        </w:tc>
      </w:tr>
      <w:tr w:rsidR="00634E30" w14:paraId="7F503CF6" w14:textId="77777777">
        <w:tc>
          <w:tcPr>
            <w:tcW w:w="2466" w:type="dxa"/>
            <w:tcBorders>
              <w:left w:val="single" w:sz="4" w:space="0" w:color="000000"/>
              <w:bottom w:val="single" w:sz="4" w:space="0" w:color="000000"/>
            </w:tcBorders>
          </w:tcPr>
          <w:p w14:paraId="7C99C18D" w14:textId="77777777" w:rsidR="00634E30" w:rsidRDefault="00000000">
            <w:pPr>
              <w:pStyle w:val="TableContents"/>
            </w:pPr>
            <w:r>
              <w:t>Female workforce</w:t>
            </w:r>
          </w:p>
        </w:tc>
        <w:tc>
          <w:tcPr>
            <w:tcW w:w="2467" w:type="dxa"/>
            <w:tcBorders>
              <w:left w:val="single" w:sz="4" w:space="0" w:color="000000"/>
              <w:bottom w:val="single" w:sz="4" w:space="0" w:color="000000"/>
            </w:tcBorders>
          </w:tcPr>
          <w:p w14:paraId="31A344CC" w14:textId="77777777" w:rsidR="00634E30" w:rsidRDefault="00000000">
            <w:pPr>
              <w:pStyle w:val="TableContents"/>
            </w:pPr>
            <w:r>
              <w:t>Reach 35%</w:t>
            </w:r>
          </w:p>
        </w:tc>
        <w:tc>
          <w:tcPr>
            <w:tcW w:w="2466" w:type="dxa"/>
            <w:tcBorders>
              <w:left w:val="single" w:sz="4" w:space="0" w:color="000000"/>
              <w:bottom w:val="single" w:sz="4" w:space="0" w:color="000000"/>
            </w:tcBorders>
          </w:tcPr>
          <w:p w14:paraId="5F930246" w14:textId="77777777" w:rsidR="00634E30" w:rsidRDefault="00000000">
            <w:pPr>
              <w:pStyle w:val="TableContents"/>
            </w:pPr>
            <w:r>
              <w:t>34.6%</w:t>
            </w:r>
          </w:p>
        </w:tc>
        <w:tc>
          <w:tcPr>
            <w:tcW w:w="2467" w:type="dxa"/>
            <w:tcBorders>
              <w:left w:val="single" w:sz="4" w:space="0" w:color="000000"/>
              <w:bottom w:val="single" w:sz="4" w:space="0" w:color="000000"/>
              <w:right w:val="single" w:sz="4" w:space="0" w:color="000000"/>
            </w:tcBorders>
          </w:tcPr>
          <w:p w14:paraId="25CB322A" w14:textId="77777777" w:rsidR="00634E30" w:rsidRDefault="00000000">
            <w:pPr>
              <w:pStyle w:val="TableContents"/>
            </w:pPr>
            <w:r>
              <w:t>Near target</w:t>
            </w:r>
          </w:p>
        </w:tc>
      </w:tr>
      <w:tr w:rsidR="00634E30" w14:paraId="601E4BCA" w14:textId="77777777">
        <w:tc>
          <w:tcPr>
            <w:tcW w:w="2466" w:type="dxa"/>
            <w:tcBorders>
              <w:left w:val="single" w:sz="4" w:space="0" w:color="000000"/>
              <w:bottom w:val="single" w:sz="4" w:space="0" w:color="000000"/>
            </w:tcBorders>
          </w:tcPr>
          <w:p w14:paraId="443FA30D" w14:textId="77777777" w:rsidR="00634E30" w:rsidRDefault="00000000">
            <w:pPr>
              <w:pStyle w:val="TableContents"/>
            </w:pPr>
            <w:r>
              <w:t>Employee turnover</w:t>
            </w:r>
          </w:p>
        </w:tc>
        <w:tc>
          <w:tcPr>
            <w:tcW w:w="2467" w:type="dxa"/>
            <w:tcBorders>
              <w:left w:val="single" w:sz="4" w:space="0" w:color="000000"/>
              <w:bottom w:val="single" w:sz="4" w:space="0" w:color="000000"/>
            </w:tcBorders>
          </w:tcPr>
          <w:p w14:paraId="585F02F6" w14:textId="77777777" w:rsidR="00634E30" w:rsidRDefault="00000000">
            <w:pPr>
              <w:pStyle w:val="TableContents"/>
            </w:pPr>
            <w:r>
              <w:t>Below 9%</w:t>
            </w:r>
          </w:p>
        </w:tc>
        <w:tc>
          <w:tcPr>
            <w:tcW w:w="2466" w:type="dxa"/>
            <w:tcBorders>
              <w:left w:val="single" w:sz="4" w:space="0" w:color="000000"/>
              <w:bottom w:val="single" w:sz="4" w:space="0" w:color="000000"/>
            </w:tcBorders>
          </w:tcPr>
          <w:p w14:paraId="50017E05" w14:textId="77777777" w:rsidR="00634E30" w:rsidRDefault="00000000">
            <w:pPr>
              <w:pStyle w:val="TableContents"/>
            </w:pPr>
            <w:r>
              <w:t>9.4%</w:t>
            </w:r>
          </w:p>
        </w:tc>
        <w:tc>
          <w:tcPr>
            <w:tcW w:w="2467" w:type="dxa"/>
            <w:tcBorders>
              <w:left w:val="single" w:sz="4" w:space="0" w:color="000000"/>
              <w:bottom w:val="single" w:sz="4" w:space="0" w:color="000000"/>
              <w:right w:val="single" w:sz="4" w:space="0" w:color="000000"/>
            </w:tcBorders>
          </w:tcPr>
          <w:p w14:paraId="644C59CF" w14:textId="77777777" w:rsidR="00634E30" w:rsidRDefault="00000000">
            <w:pPr>
              <w:pStyle w:val="TableContents"/>
            </w:pPr>
            <w:r>
              <w:t>Not achieved</w:t>
            </w:r>
          </w:p>
        </w:tc>
      </w:tr>
      <w:tr w:rsidR="00634E30" w14:paraId="16F6539B" w14:textId="77777777">
        <w:tc>
          <w:tcPr>
            <w:tcW w:w="2466" w:type="dxa"/>
            <w:tcBorders>
              <w:left w:val="single" w:sz="4" w:space="0" w:color="000000"/>
              <w:bottom w:val="single" w:sz="4" w:space="0" w:color="000000"/>
            </w:tcBorders>
          </w:tcPr>
          <w:p w14:paraId="054E6C50" w14:textId="77777777" w:rsidR="00634E30" w:rsidRDefault="00000000">
            <w:pPr>
              <w:pStyle w:val="TableContents"/>
            </w:pPr>
            <w:r>
              <w:t>Recordable injuries</w:t>
            </w:r>
          </w:p>
        </w:tc>
        <w:tc>
          <w:tcPr>
            <w:tcW w:w="2467" w:type="dxa"/>
            <w:tcBorders>
              <w:left w:val="single" w:sz="4" w:space="0" w:color="000000"/>
              <w:bottom w:val="single" w:sz="4" w:space="0" w:color="000000"/>
            </w:tcBorders>
          </w:tcPr>
          <w:p w14:paraId="2C9DEA11" w14:textId="77777777" w:rsidR="00634E30" w:rsidRDefault="00000000">
            <w:pPr>
              <w:pStyle w:val="TableContents"/>
            </w:pPr>
            <w:r>
              <w:t>Reduce 25%</w:t>
            </w:r>
          </w:p>
        </w:tc>
        <w:tc>
          <w:tcPr>
            <w:tcW w:w="2466" w:type="dxa"/>
            <w:tcBorders>
              <w:left w:val="single" w:sz="4" w:space="0" w:color="000000"/>
              <w:bottom w:val="single" w:sz="4" w:space="0" w:color="000000"/>
            </w:tcBorders>
          </w:tcPr>
          <w:p w14:paraId="41296013" w14:textId="77777777" w:rsidR="00634E30" w:rsidRDefault="00000000">
            <w:pPr>
              <w:pStyle w:val="TableContents"/>
            </w:pPr>
            <w:r>
              <w:t>40.4% reduction</w:t>
            </w:r>
          </w:p>
        </w:tc>
        <w:tc>
          <w:tcPr>
            <w:tcW w:w="2467" w:type="dxa"/>
            <w:tcBorders>
              <w:left w:val="single" w:sz="4" w:space="0" w:color="000000"/>
              <w:bottom w:val="single" w:sz="4" w:space="0" w:color="000000"/>
              <w:right w:val="single" w:sz="4" w:space="0" w:color="000000"/>
            </w:tcBorders>
          </w:tcPr>
          <w:p w14:paraId="6B5780D5" w14:textId="77777777" w:rsidR="00634E30" w:rsidRDefault="00000000">
            <w:pPr>
              <w:pStyle w:val="TableContents"/>
            </w:pPr>
            <w:r>
              <w:t>Achieved</w:t>
            </w:r>
          </w:p>
        </w:tc>
      </w:tr>
      <w:tr w:rsidR="00634E30" w14:paraId="1504A78E" w14:textId="77777777">
        <w:tc>
          <w:tcPr>
            <w:tcW w:w="2466" w:type="dxa"/>
            <w:tcBorders>
              <w:left w:val="single" w:sz="4" w:space="0" w:color="000000"/>
              <w:bottom w:val="single" w:sz="4" w:space="0" w:color="000000"/>
            </w:tcBorders>
          </w:tcPr>
          <w:p w14:paraId="02F22E44" w14:textId="77777777" w:rsidR="00634E30" w:rsidRDefault="00000000">
            <w:pPr>
              <w:pStyle w:val="TableContents"/>
            </w:pPr>
            <w:r>
              <w:t>Ethics training</w:t>
            </w:r>
          </w:p>
        </w:tc>
        <w:tc>
          <w:tcPr>
            <w:tcW w:w="2467" w:type="dxa"/>
            <w:tcBorders>
              <w:left w:val="single" w:sz="4" w:space="0" w:color="000000"/>
              <w:bottom w:val="single" w:sz="4" w:space="0" w:color="000000"/>
            </w:tcBorders>
          </w:tcPr>
          <w:p w14:paraId="1FE588B9" w14:textId="77777777" w:rsidR="00634E30" w:rsidRDefault="00000000">
            <w:pPr>
              <w:pStyle w:val="TableContents"/>
            </w:pPr>
            <w:r>
              <w:t>Reach 98%</w:t>
            </w:r>
          </w:p>
        </w:tc>
        <w:tc>
          <w:tcPr>
            <w:tcW w:w="2466" w:type="dxa"/>
            <w:tcBorders>
              <w:left w:val="single" w:sz="4" w:space="0" w:color="000000"/>
              <w:bottom w:val="single" w:sz="4" w:space="0" w:color="000000"/>
            </w:tcBorders>
          </w:tcPr>
          <w:p w14:paraId="43BAE685" w14:textId="77777777" w:rsidR="00634E30" w:rsidRDefault="00000000">
            <w:pPr>
              <w:pStyle w:val="TableContents"/>
            </w:pPr>
            <w:r>
              <w:t>97.3%</w:t>
            </w:r>
          </w:p>
        </w:tc>
        <w:tc>
          <w:tcPr>
            <w:tcW w:w="2467" w:type="dxa"/>
            <w:tcBorders>
              <w:left w:val="single" w:sz="4" w:space="0" w:color="000000"/>
              <w:bottom w:val="single" w:sz="4" w:space="0" w:color="000000"/>
              <w:right w:val="single" w:sz="4" w:space="0" w:color="000000"/>
            </w:tcBorders>
          </w:tcPr>
          <w:p w14:paraId="742A4777" w14:textId="77777777" w:rsidR="00634E30" w:rsidRDefault="00000000">
            <w:pPr>
              <w:pStyle w:val="TableContents"/>
            </w:pPr>
            <w:r>
              <w:t>Near target</w:t>
            </w:r>
          </w:p>
        </w:tc>
      </w:tr>
      <w:tr w:rsidR="00634E30" w14:paraId="3AA95666" w14:textId="77777777">
        <w:tc>
          <w:tcPr>
            <w:tcW w:w="2466" w:type="dxa"/>
            <w:tcBorders>
              <w:left w:val="single" w:sz="4" w:space="0" w:color="000000"/>
              <w:bottom w:val="single" w:sz="4" w:space="0" w:color="000000"/>
            </w:tcBorders>
          </w:tcPr>
          <w:p w14:paraId="6E9CA7DC" w14:textId="77777777" w:rsidR="00634E30" w:rsidRDefault="00000000">
            <w:pPr>
              <w:pStyle w:val="TableContents"/>
            </w:pPr>
            <w:r>
              <w:t>Compliance incidents</w:t>
            </w:r>
          </w:p>
        </w:tc>
        <w:tc>
          <w:tcPr>
            <w:tcW w:w="2467" w:type="dxa"/>
            <w:tcBorders>
              <w:left w:val="single" w:sz="4" w:space="0" w:color="000000"/>
              <w:bottom w:val="single" w:sz="4" w:space="0" w:color="000000"/>
            </w:tcBorders>
          </w:tcPr>
          <w:p w14:paraId="0AE08262" w14:textId="77777777" w:rsidR="00634E30" w:rsidRDefault="00000000">
            <w:pPr>
              <w:pStyle w:val="TableContents"/>
            </w:pPr>
            <w:r>
              <w:t>Reduce 30%</w:t>
            </w:r>
          </w:p>
        </w:tc>
        <w:tc>
          <w:tcPr>
            <w:tcW w:w="2466" w:type="dxa"/>
            <w:tcBorders>
              <w:left w:val="single" w:sz="4" w:space="0" w:color="000000"/>
              <w:bottom w:val="single" w:sz="4" w:space="0" w:color="000000"/>
            </w:tcBorders>
          </w:tcPr>
          <w:p w14:paraId="61F6ACF6" w14:textId="77777777" w:rsidR="00634E30" w:rsidRDefault="00000000">
            <w:pPr>
              <w:pStyle w:val="TableContents"/>
            </w:pPr>
            <w:r>
              <w:t>60.0% reduction</w:t>
            </w:r>
          </w:p>
        </w:tc>
        <w:tc>
          <w:tcPr>
            <w:tcW w:w="2467" w:type="dxa"/>
            <w:tcBorders>
              <w:left w:val="single" w:sz="4" w:space="0" w:color="000000"/>
              <w:bottom w:val="single" w:sz="4" w:space="0" w:color="000000"/>
              <w:right w:val="single" w:sz="4" w:space="0" w:color="000000"/>
            </w:tcBorders>
          </w:tcPr>
          <w:p w14:paraId="4F563E85" w14:textId="77777777" w:rsidR="00634E30" w:rsidRDefault="00000000">
            <w:pPr>
              <w:pStyle w:val="TableContents"/>
            </w:pPr>
            <w:r>
              <w:t>Achieved</w:t>
            </w:r>
          </w:p>
        </w:tc>
      </w:tr>
    </w:tbl>
    <w:p w14:paraId="0D6457FB" w14:textId="77777777" w:rsidR="00634E30" w:rsidRDefault="00634E30">
      <w:pPr>
        <w:spacing w:after="68"/>
        <w:jc w:val="center"/>
        <w:rPr>
          <w:color w:val="2F5D50"/>
          <w:sz w:val="20"/>
        </w:rPr>
      </w:pPr>
    </w:p>
    <w:p w14:paraId="04EBE5AA" w14:textId="77777777" w:rsidR="0015115D" w:rsidRDefault="0015115D">
      <w:pPr>
        <w:spacing w:after="102"/>
        <w:jc w:val="center"/>
        <w:rPr>
          <w:b/>
          <w:color w:val="2F5D50"/>
          <w:sz w:val="40"/>
        </w:rPr>
      </w:pPr>
    </w:p>
    <w:p w14:paraId="52672B60" w14:textId="77777777" w:rsidR="00827CDD" w:rsidRDefault="00827CDD" w:rsidP="00827CDD">
      <w:pPr>
        <w:spacing w:after="102"/>
        <w:rPr>
          <w:b/>
          <w:color w:val="2F5D50"/>
          <w:sz w:val="40"/>
        </w:rPr>
      </w:pPr>
    </w:p>
    <w:p w14:paraId="5D8FF240" w14:textId="6CECC5A5" w:rsidR="00634E30" w:rsidRDefault="00000000" w:rsidP="00827CDD">
      <w:pPr>
        <w:spacing w:after="102"/>
        <w:jc w:val="center"/>
        <w:rPr>
          <w:b/>
          <w:color w:val="2F5D50"/>
          <w:sz w:val="40"/>
        </w:rPr>
      </w:pPr>
      <w:r>
        <w:rPr>
          <w:b/>
          <w:color w:val="2F5D50"/>
          <w:sz w:val="40"/>
        </w:rPr>
        <w:lastRenderedPageBreak/>
        <w:t>7. Key ESG Risks &amp; Improvement Areas</w:t>
      </w:r>
    </w:p>
    <w:p w14:paraId="764D78AF" w14:textId="77777777" w:rsidR="00634E30" w:rsidRDefault="00000000">
      <w:pPr>
        <w:spacing w:after="40"/>
        <w:jc w:val="center"/>
        <w:rPr>
          <w:color w:val="2F5D50"/>
          <w:sz w:val="20"/>
        </w:rPr>
      </w:pPr>
      <w:r>
        <w:rPr>
          <w:color w:val="2F5D50"/>
          <w:sz w:val="20"/>
        </w:rPr>
        <w:t>• Climate transition: Scope 1+2 emissions are 9.0% below 2021, short of the 20% target.</w:t>
      </w:r>
    </w:p>
    <w:p w14:paraId="151BBFF2" w14:textId="77777777" w:rsidR="00634E30" w:rsidRDefault="00000000">
      <w:pPr>
        <w:spacing w:after="40"/>
        <w:jc w:val="center"/>
        <w:rPr>
          <w:color w:val="2F5D50"/>
          <w:sz w:val="20"/>
        </w:rPr>
      </w:pPr>
      <w:r>
        <w:rPr>
          <w:color w:val="2F5D50"/>
          <w:sz w:val="20"/>
        </w:rPr>
        <w:t>• Renewable-energy gap: renewable energy reached 43.9%, leaving a small gap to 45%.</w:t>
      </w:r>
    </w:p>
    <w:p w14:paraId="649F6FD1" w14:textId="77777777" w:rsidR="00634E30" w:rsidRDefault="00000000">
      <w:pPr>
        <w:spacing w:after="40"/>
        <w:jc w:val="center"/>
        <w:rPr>
          <w:color w:val="2F5D50"/>
          <w:sz w:val="20"/>
        </w:rPr>
      </w:pPr>
      <w:r>
        <w:rPr>
          <w:color w:val="2F5D50"/>
          <w:sz w:val="20"/>
        </w:rPr>
        <w:t>• Diversity and retention: female workforce representation is 34.6% and turnover is 9.4%.</w:t>
      </w:r>
    </w:p>
    <w:p w14:paraId="53919B03" w14:textId="77777777" w:rsidR="00634E30" w:rsidRDefault="00000000">
      <w:pPr>
        <w:spacing w:after="40"/>
        <w:jc w:val="center"/>
        <w:rPr>
          <w:color w:val="2F5D50"/>
          <w:sz w:val="20"/>
        </w:rPr>
      </w:pPr>
      <w:r>
        <w:rPr>
          <w:color w:val="2F5D50"/>
          <w:sz w:val="20"/>
        </w:rPr>
        <w:t>• Ethics coverage: ethics training reached 97.3%, below 98%.</w:t>
      </w:r>
    </w:p>
    <w:p w14:paraId="13F4A61F" w14:textId="77777777" w:rsidR="00634E30" w:rsidRDefault="00000000">
      <w:pPr>
        <w:spacing w:after="40"/>
        <w:jc w:val="center"/>
        <w:rPr>
          <w:color w:val="2F5D50"/>
          <w:sz w:val="20"/>
        </w:rPr>
      </w:pPr>
      <w:r>
        <w:rPr>
          <w:color w:val="2F5D50"/>
          <w:sz w:val="20"/>
        </w:rPr>
        <w:t>• Data privacy: incident levels vary by year and should remain under active monitoring.</w:t>
      </w:r>
    </w:p>
    <w:p w14:paraId="0BA9B8C6" w14:textId="77777777" w:rsidR="0015115D" w:rsidRDefault="0015115D">
      <w:pPr>
        <w:spacing w:after="40"/>
        <w:jc w:val="center"/>
        <w:rPr>
          <w:color w:val="2F5D50"/>
          <w:sz w:val="20"/>
        </w:rPr>
      </w:pPr>
    </w:p>
    <w:p w14:paraId="022A11A5" w14:textId="77777777" w:rsidR="0015115D" w:rsidRDefault="0015115D">
      <w:pPr>
        <w:spacing w:after="40"/>
        <w:jc w:val="center"/>
        <w:rPr>
          <w:color w:val="2F5D50"/>
          <w:sz w:val="20"/>
        </w:rPr>
      </w:pPr>
    </w:p>
    <w:p w14:paraId="2B95B98C" w14:textId="77777777" w:rsidR="00634E30" w:rsidRDefault="00000000">
      <w:pPr>
        <w:spacing w:after="102"/>
        <w:jc w:val="center"/>
        <w:rPr>
          <w:b/>
          <w:color w:val="2F5D50"/>
          <w:sz w:val="40"/>
        </w:rPr>
      </w:pPr>
      <w:r>
        <w:rPr>
          <w:b/>
          <w:color w:val="2F5D50"/>
          <w:sz w:val="40"/>
        </w:rPr>
        <w:t>8. Recommendations &amp; 2026 Priorities</w:t>
      </w:r>
    </w:p>
    <w:p w14:paraId="29FBF1DF" w14:textId="77777777" w:rsidR="00634E30" w:rsidRDefault="00000000">
      <w:pPr>
        <w:spacing w:after="40"/>
        <w:jc w:val="center"/>
        <w:rPr>
          <w:color w:val="2F5D50"/>
          <w:sz w:val="20"/>
        </w:rPr>
      </w:pPr>
      <w:r>
        <w:rPr>
          <w:color w:val="2F5D50"/>
          <w:sz w:val="20"/>
        </w:rPr>
        <w:t>• Set a facility-level decarbonization roadmap for Scope 1 and Scope 2 emissions with annual milestones and accountable owners.</w:t>
      </w:r>
    </w:p>
    <w:p w14:paraId="417AD2D3" w14:textId="77777777" w:rsidR="00634E30" w:rsidRDefault="00000000">
      <w:pPr>
        <w:spacing w:after="40"/>
        <w:jc w:val="center"/>
        <w:rPr>
          <w:color w:val="2F5D50"/>
          <w:sz w:val="20"/>
        </w:rPr>
      </w:pPr>
      <w:r>
        <w:rPr>
          <w:color w:val="2F5D50"/>
          <w:sz w:val="20"/>
        </w:rPr>
        <w:t>• Move renewable energy beyond the 45% threshold through procurement, onsite generation and energy-efficiency opportunities.</w:t>
      </w:r>
    </w:p>
    <w:p w14:paraId="1FF6C830" w14:textId="77777777" w:rsidR="00634E30" w:rsidRDefault="00000000">
      <w:pPr>
        <w:spacing w:after="40"/>
        <w:jc w:val="center"/>
        <w:rPr>
          <w:color w:val="2F5D50"/>
          <w:sz w:val="20"/>
        </w:rPr>
      </w:pPr>
      <w:r>
        <w:rPr>
          <w:color w:val="2F5D50"/>
          <w:sz w:val="20"/>
        </w:rPr>
        <w:t>• Use facility-level water and waste analysis to identify hotspots and prioritize operational interventions.</w:t>
      </w:r>
    </w:p>
    <w:p w14:paraId="596AA39E" w14:textId="77777777" w:rsidR="00634E30" w:rsidRDefault="00000000">
      <w:pPr>
        <w:spacing w:after="40"/>
        <w:jc w:val="center"/>
        <w:rPr>
          <w:color w:val="2F5D50"/>
          <w:sz w:val="20"/>
        </w:rPr>
      </w:pPr>
      <w:r>
        <w:rPr>
          <w:color w:val="2F5D50"/>
          <w:sz w:val="20"/>
        </w:rPr>
        <w:t>• Close the female workforce gap through targeted recruitment, career progression and retention programs.</w:t>
      </w:r>
    </w:p>
    <w:p w14:paraId="6B13B77E" w14:textId="77777777" w:rsidR="00634E30" w:rsidRDefault="00000000">
      <w:pPr>
        <w:spacing w:after="40"/>
        <w:jc w:val="center"/>
        <w:rPr>
          <w:color w:val="2F5D50"/>
          <w:sz w:val="20"/>
        </w:rPr>
      </w:pPr>
      <w:r>
        <w:rPr>
          <w:color w:val="2F5D50"/>
          <w:sz w:val="20"/>
        </w:rPr>
        <w:t>• Bring employee turnover below 9% using structured exit analysis and targeted retention measures.</w:t>
      </w:r>
    </w:p>
    <w:p w14:paraId="6E734778" w14:textId="77777777" w:rsidR="00634E30" w:rsidRDefault="00000000">
      <w:pPr>
        <w:spacing w:after="40"/>
        <w:jc w:val="center"/>
        <w:rPr>
          <w:color w:val="2F5D50"/>
          <w:sz w:val="20"/>
        </w:rPr>
      </w:pPr>
      <w:r>
        <w:rPr>
          <w:color w:val="2F5D50"/>
          <w:sz w:val="20"/>
        </w:rPr>
        <w:t>• Maintain the strong safety trajectory through preventive controls, near-miss reporting and site-level safety reviews.</w:t>
      </w:r>
    </w:p>
    <w:p w14:paraId="5789B99C" w14:textId="77777777" w:rsidR="00634E30" w:rsidRDefault="00000000">
      <w:pPr>
        <w:spacing w:after="40"/>
        <w:jc w:val="center"/>
        <w:rPr>
          <w:color w:val="2F5D50"/>
          <w:sz w:val="20"/>
        </w:rPr>
      </w:pPr>
      <w:r>
        <w:rPr>
          <w:color w:val="2F5D50"/>
          <w:sz w:val="20"/>
        </w:rPr>
        <w:t>• Reach at least 98% ethics-training completion and strengthen exception tracking.</w:t>
      </w:r>
    </w:p>
    <w:p w14:paraId="59A2689E" w14:textId="77777777" w:rsidR="00634E30" w:rsidRDefault="00000000">
      <w:pPr>
        <w:spacing w:after="40"/>
        <w:jc w:val="center"/>
        <w:rPr>
          <w:color w:val="2F5D50"/>
          <w:sz w:val="20"/>
        </w:rPr>
      </w:pPr>
      <w:r>
        <w:rPr>
          <w:color w:val="2F5D50"/>
          <w:sz w:val="20"/>
        </w:rPr>
        <w:t>• Strengthen data privacy controls and root-cause analysis for incidents.</w:t>
      </w:r>
    </w:p>
    <w:p w14:paraId="46945229" w14:textId="77777777" w:rsidR="00634E30" w:rsidRDefault="00000000">
      <w:pPr>
        <w:spacing w:after="40"/>
        <w:jc w:val="center"/>
        <w:rPr>
          <w:color w:val="2F5D50"/>
          <w:sz w:val="20"/>
        </w:rPr>
      </w:pPr>
      <w:r>
        <w:rPr>
          <w:color w:val="2F5D50"/>
          <w:sz w:val="20"/>
        </w:rPr>
        <w:t>• Develop ESG data owners, calculation definitions and evidence trails to support future assurance-ready reporting.</w:t>
      </w:r>
    </w:p>
    <w:p w14:paraId="769A4AFE" w14:textId="77777777" w:rsidR="0015115D" w:rsidRDefault="0015115D">
      <w:pPr>
        <w:spacing w:after="40"/>
        <w:jc w:val="center"/>
        <w:rPr>
          <w:color w:val="2F5D50"/>
          <w:sz w:val="20"/>
        </w:rPr>
      </w:pPr>
    </w:p>
    <w:p w14:paraId="4ACA126B" w14:textId="77777777" w:rsidR="0015115D" w:rsidRDefault="0015115D">
      <w:pPr>
        <w:spacing w:after="40"/>
        <w:jc w:val="center"/>
        <w:rPr>
          <w:color w:val="2F5D50"/>
          <w:sz w:val="20"/>
        </w:rPr>
      </w:pPr>
    </w:p>
    <w:p w14:paraId="4320C3CA" w14:textId="77777777" w:rsidR="00634E30" w:rsidRDefault="00000000">
      <w:pPr>
        <w:spacing w:after="102"/>
        <w:jc w:val="center"/>
        <w:rPr>
          <w:b/>
          <w:color w:val="2F5D50"/>
          <w:sz w:val="40"/>
        </w:rPr>
      </w:pPr>
      <w:r>
        <w:rPr>
          <w:b/>
          <w:color w:val="2F5D50"/>
          <w:sz w:val="40"/>
        </w:rPr>
        <w:t>9. Methodology &amp; Data Limitations</w:t>
      </w:r>
    </w:p>
    <w:p w14:paraId="5B03EE81" w14:textId="77777777" w:rsidR="00634E30" w:rsidRDefault="00000000">
      <w:pPr>
        <w:spacing w:after="68"/>
        <w:jc w:val="center"/>
        <w:rPr>
          <w:color w:val="2F5D50"/>
          <w:sz w:val="20"/>
        </w:rPr>
      </w:pPr>
      <w:r>
        <w:rPr>
          <w:color w:val="2F5D50"/>
          <w:sz w:val="20"/>
        </w:rPr>
        <w:t>Environmental data are modeled monthly across five facilities for 2021–2025. Social and governance data are modeled quarterly. Environmental renewable-energy and waste-recycling percentages use weighted volumes where appropriate. Female workforce representation is calculated from female employees divided by total employees. Governance percentage indicators are summarized from quarterly facility records.</w:t>
      </w:r>
    </w:p>
    <w:p w14:paraId="40E1A7B3" w14:textId="388654D5" w:rsidR="00634E30" w:rsidRDefault="00000000" w:rsidP="0015115D">
      <w:pPr>
        <w:spacing w:after="68"/>
        <w:jc w:val="center"/>
        <w:rPr>
          <w:color w:val="2F5D50"/>
          <w:sz w:val="20"/>
        </w:rPr>
      </w:pPr>
      <w:r>
        <w:rPr>
          <w:color w:val="2F5D50"/>
          <w:sz w:val="20"/>
        </w:rPr>
        <w:t>The dataset is simulated and designed solely for portfolio demonstration. It has not been independently assured, audited or verified. No real company, facility, employee, emissions inventory or compliance event is represented. A production sustainability report would require documented organizational boundaries, calculation methodologies, activity data, emission factors, evidence controls and potentially external assurance.</w:t>
      </w:r>
    </w:p>
    <w:p w14:paraId="55F95EB5" w14:textId="77777777" w:rsidR="0015115D" w:rsidRDefault="0015115D" w:rsidP="0015115D">
      <w:pPr>
        <w:spacing w:after="68"/>
        <w:jc w:val="center"/>
        <w:rPr>
          <w:color w:val="2F5D50"/>
          <w:sz w:val="20"/>
        </w:rPr>
      </w:pPr>
    </w:p>
    <w:p w14:paraId="2878F1BB" w14:textId="77777777" w:rsidR="0015115D" w:rsidRDefault="0015115D" w:rsidP="0015115D">
      <w:pPr>
        <w:spacing w:after="68"/>
        <w:jc w:val="center"/>
        <w:rPr>
          <w:color w:val="2F5D50"/>
          <w:sz w:val="20"/>
        </w:rPr>
      </w:pPr>
    </w:p>
    <w:p w14:paraId="2BEB59E4" w14:textId="77777777" w:rsidR="00634E30" w:rsidRDefault="00000000">
      <w:pPr>
        <w:spacing w:after="102"/>
        <w:jc w:val="center"/>
        <w:rPr>
          <w:b/>
          <w:color w:val="2F5D50"/>
          <w:sz w:val="40"/>
        </w:rPr>
      </w:pPr>
      <w:r>
        <w:rPr>
          <w:b/>
          <w:color w:val="2F5D50"/>
          <w:sz w:val="40"/>
        </w:rPr>
        <w:t>10. Reporting Framework Context</w:t>
      </w:r>
    </w:p>
    <w:p w14:paraId="7EE44DD3" w14:textId="77777777" w:rsidR="00634E30" w:rsidRDefault="00000000">
      <w:pPr>
        <w:spacing w:after="68"/>
        <w:jc w:val="center"/>
        <w:rPr>
          <w:color w:val="2F5D50"/>
          <w:sz w:val="20"/>
        </w:rPr>
      </w:pPr>
      <w:r>
        <w:rPr>
          <w:color w:val="2F5D50"/>
          <w:sz w:val="20"/>
        </w:rPr>
        <w:t>The report structure is conceptually informed by established sustainability-reporting practices including the GRI Standards and IFRS S2. This portfolio report does not claim formal compliance or assurance.</w:t>
      </w:r>
      <w:r>
        <w:br w:type="page"/>
      </w:r>
    </w:p>
    <w:p w14:paraId="178A9B3B" w14:textId="77777777" w:rsidR="00634E30" w:rsidRDefault="00634E30">
      <w:pPr>
        <w:spacing w:after="68"/>
        <w:jc w:val="center"/>
        <w:rPr>
          <w:color w:val="2F5D50"/>
          <w:sz w:val="20"/>
        </w:rPr>
      </w:pPr>
    </w:p>
    <w:p w14:paraId="3B71D869" w14:textId="4CD9D27C" w:rsidR="00634E30" w:rsidRDefault="00000000">
      <w:pPr>
        <w:spacing w:after="102"/>
        <w:jc w:val="center"/>
        <w:rPr>
          <w:b/>
          <w:color w:val="2F5D50"/>
          <w:sz w:val="40"/>
        </w:rPr>
      </w:pPr>
      <w:r>
        <w:rPr>
          <w:b/>
          <w:color w:val="2F5D50"/>
          <w:sz w:val="40"/>
        </w:rPr>
        <w:t xml:space="preserve">Appendix </w:t>
      </w:r>
      <w:r w:rsidR="0015115D">
        <w:rPr>
          <w:b/>
          <w:color w:val="2F5D50"/>
          <w:sz w:val="40"/>
        </w:rPr>
        <w:t>-</w:t>
      </w:r>
      <w:r>
        <w:rPr>
          <w:b/>
          <w:color w:val="2F5D50"/>
          <w:sz w:val="40"/>
        </w:rPr>
        <w:t xml:space="preserve"> Facility Coverage</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64"/>
        <w:gridCol w:w="2464"/>
        <w:gridCol w:w="2464"/>
        <w:gridCol w:w="2464"/>
      </w:tblGrid>
      <w:tr w:rsidR="00634E30" w14:paraId="1F2A9396" w14:textId="77777777">
        <w:tc>
          <w:tcPr>
            <w:tcW w:w="2466" w:type="dxa"/>
            <w:tcBorders>
              <w:top w:val="single" w:sz="4" w:space="0" w:color="000000"/>
              <w:left w:val="single" w:sz="4" w:space="0" w:color="000000"/>
              <w:bottom w:val="single" w:sz="4" w:space="0" w:color="000000"/>
            </w:tcBorders>
            <w:shd w:val="clear" w:color="auto" w:fill="2F5D50"/>
          </w:tcPr>
          <w:p w14:paraId="198813E8" w14:textId="77777777" w:rsidR="00634E30" w:rsidRDefault="00000000">
            <w:pPr>
              <w:pStyle w:val="TableHeading"/>
            </w:pPr>
            <w:r>
              <w:t>Facility</w:t>
            </w:r>
          </w:p>
        </w:tc>
        <w:tc>
          <w:tcPr>
            <w:tcW w:w="2467" w:type="dxa"/>
            <w:tcBorders>
              <w:top w:val="single" w:sz="4" w:space="0" w:color="000000"/>
              <w:left w:val="single" w:sz="4" w:space="0" w:color="000000"/>
              <w:bottom w:val="single" w:sz="4" w:space="0" w:color="000000"/>
            </w:tcBorders>
            <w:shd w:val="clear" w:color="auto" w:fill="2F5D50"/>
          </w:tcPr>
          <w:p w14:paraId="14706401" w14:textId="77777777" w:rsidR="00634E30" w:rsidRDefault="00000000">
            <w:pPr>
              <w:pStyle w:val="TableHeading"/>
            </w:pPr>
            <w:r>
              <w:t>Region</w:t>
            </w:r>
          </w:p>
        </w:tc>
        <w:tc>
          <w:tcPr>
            <w:tcW w:w="2466" w:type="dxa"/>
            <w:tcBorders>
              <w:top w:val="single" w:sz="4" w:space="0" w:color="000000"/>
              <w:left w:val="single" w:sz="4" w:space="0" w:color="000000"/>
              <w:bottom w:val="single" w:sz="4" w:space="0" w:color="000000"/>
            </w:tcBorders>
            <w:shd w:val="clear" w:color="auto" w:fill="2F5D50"/>
          </w:tcPr>
          <w:p w14:paraId="36B94119" w14:textId="77777777" w:rsidR="00634E30" w:rsidRDefault="00000000">
            <w:pPr>
              <w:pStyle w:val="TableHeading"/>
            </w:pPr>
            <w:r>
              <w:t>Renewable energy</w:t>
            </w:r>
          </w:p>
        </w:tc>
        <w:tc>
          <w:tcPr>
            <w:tcW w:w="2467" w:type="dxa"/>
            <w:tcBorders>
              <w:top w:val="single" w:sz="4" w:space="0" w:color="000000"/>
              <w:left w:val="single" w:sz="4" w:space="0" w:color="000000"/>
              <w:bottom w:val="single" w:sz="4" w:space="0" w:color="000000"/>
              <w:right w:val="single" w:sz="4" w:space="0" w:color="000000"/>
            </w:tcBorders>
            <w:shd w:val="clear" w:color="auto" w:fill="2F5D50"/>
          </w:tcPr>
          <w:p w14:paraId="7C03218A" w14:textId="77777777" w:rsidR="00634E30" w:rsidRDefault="00000000">
            <w:pPr>
              <w:pStyle w:val="TableHeading"/>
            </w:pPr>
            <w:r>
              <w:t>Water (m³)</w:t>
            </w:r>
          </w:p>
        </w:tc>
      </w:tr>
      <w:tr w:rsidR="00634E30" w14:paraId="3EC49105" w14:textId="77777777">
        <w:tc>
          <w:tcPr>
            <w:tcW w:w="2466" w:type="dxa"/>
            <w:tcBorders>
              <w:left w:val="single" w:sz="4" w:space="0" w:color="000000"/>
              <w:bottom w:val="single" w:sz="4" w:space="0" w:color="000000"/>
            </w:tcBorders>
          </w:tcPr>
          <w:p w14:paraId="3F6C9D0F" w14:textId="77777777" w:rsidR="00634E30" w:rsidRDefault="00000000">
            <w:pPr>
              <w:pStyle w:val="TableContents"/>
            </w:pPr>
            <w:r>
              <w:t>Mumbai Plant</w:t>
            </w:r>
          </w:p>
        </w:tc>
        <w:tc>
          <w:tcPr>
            <w:tcW w:w="2467" w:type="dxa"/>
            <w:tcBorders>
              <w:left w:val="single" w:sz="4" w:space="0" w:color="000000"/>
              <w:bottom w:val="single" w:sz="4" w:space="0" w:color="000000"/>
            </w:tcBorders>
          </w:tcPr>
          <w:p w14:paraId="44D231CC" w14:textId="77777777" w:rsidR="00634E30" w:rsidRDefault="00634E30">
            <w:pPr>
              <w:pStyle w:val="TableContents"/>
            </w:pPr>
          </w:p>
        </w:tc>
        <w:tc>
          <w:tcPr>
            <w:tcW w:w="2466" w:type="dxa"/>
            <w:tcBorders>
              <w:left w:val="single" w:sz="4" w:space="0" w:color="000000"/>
              <w:bottom w:val="single" w:sz="4" w:space="0" w:color="000000"/>
            </w:tcBorders>
          </w:tcPr>
          <w:p w14:paraId="4ECD47C9" w14:textId="77777777" w:rsidR="00634E30" w:rsidRDefault="00000000">
            <w:pPr>
              <w:pStyle w:val="TableContents"/>
            </w:pPr>
            <w:r>
              <w:t>43.4%</w:t>
            </w:r>
          </w:p>
        </w:tc>
        <w:tc>
          <w:tcPr>
            <w:tcW w:w="2467" w:type="dxa"/>
            <w:tcBorders>
              <w:left w:val="single" w:sz="4" w:space="0" w:color="000000"/>
              <w:bottom w:val="single" w:sz="4" w:space="0" w:color="000000"/>
              <w:right w:val="single" w:sz="4" w:space="0" w:color="000000"/>
            </w:tcBorders>
          </w:tcPr>
          <w:p w14:paraId="3447BA58" w14:textId="77777777" w:rsidR="00634E30" w:rsidRDefault="00000000">
            <w:pPr>
              <w:pStyle w:val="TableContents"/>
            </w:pPr>
            <w:r>
              <w:t>98,655</w:t>
            </w:r>
          </w:p>
        </w:tc>
      </w:tr>
      <w:tr w:rsidR="00634E30" w14:paraId="17F89531" w14:textId="77777777">
        <w:tc>
          <w:tcPr>
            <w:tcW w:w="2466" w:type="dxa"/>
            <w:tcBorders>
              <w:left w:val="single" w:sz="4" w:space="0" w:color="000000"/>
              <w:bottom w:val="single" w:sz="4" w:space="0" w:color="000000"/>
            </w:tcBorders>
          </w:tcPr>
          <w:p w14:paraId="15FC387F" w14:textId="77777777" w:rsidR="00634E30" w:rsidRDefault="00000000">
            <w:pPr>
              <w:pStyle w:val="TableContents"/>
            </w:pPr>
            <w:r>
              <w:t>Pune Plant</w:t>
            </w:r>
          </w:p>
        </w:tc>
        <w:tc>
          <w:tcPr>
            <w:tcW w:w="2467" w:type="dxa"/>
            <w:tcBorders>
              <w:left w:val="single" w:sz="4" w:space="0" w:color="000000"/>
              <w:bottom w:val="single" w:sz="4" w:space="0" w:color="000000"/>
            </w:tcBorders>
          </w:tcPr>
          <w:p w14:paraId="08102526" w14:textId="77777777" w:rsidR="00634E30" w:rsidRDefault="00634E30">
            <w:pPr>
              <w:pStyle w:val="TableContents"/>
            </w:pPr>
          </w:p>
        </w:tc>
        <w:tc>
          <w:tcPr>
            <w:tcW w:w="2466" w:type="dxa"/>
            <w:tcBorders>
              <w:left w:val="single" w:sz="4" w:space="0" w:color="000000"/>
              <w:bottom w:val="single" w:sz="4" w:space="0" w:color="000000"/>
            </w:tcBorders>
          </w:tcPr>
          <w:p w14:paraId="6E6DE171" w14:textId="77777777" w:rsidR="00634E30" w:rsidRDefault="00000000">
            <w:pPr>
              <w:pStyle w:val="TableContents"/>
            </w:pPr>
            <w:r>
              <w:t>43.5%</w:t>
            </w:r>
          </w:p>
        </w:tc>
        <w:tc>
          <w:tcPr>
            <w:tcW w:w="2467" w:type="dxa"/>
            <w:tcBorders>
              <w:left w:val="single" w:sz="4" w:space="0" w:color="000000"/>
              <w:bottom w:val="single" w:sz="4" w:space="0" w:color="000000"/>
              <w:right w:val="single" w:sz="4" w:space="0" w:color="000000"/>
            </w:tcBorders>
          </w:tcPr>
          <w:p w14:paraId="086EA690" w14:textId="77777777" w:rsidR="00634E30" w:rsidRDefault="00000000">
            <w:pPr>
              <w:pStyle w:val="TableContents"/>
            </w:pPr>
            <w:r>
              <w:t>85,140</w:t>
            </w:r>
          </w:p>
        </w:tc>
      </w:tr>
      <w:tr w:rsidR="00634E30" w14:paraId="7298E1C2" w14:textId="77777777">
        <w:tc>
          <w:tcPr>
            <w:tcW w:w="2466" w:type="dxa"/>
            <w:tcBorders>
              <w:left w:val="single" w:sz="4" w:space="0" w:color="000000"/>
              <w:bottom w:val="single" w:sz="4" w:space="0" w:color="000000"/>
            </w:tcBorders>
          </w:tcPr>
          <w:p w14:paraId="36803917" w14:textId="77777777" w:rsidR="00634E30" w:rsidRDefault="00000000">
            <w:pPr>
              <w:pStyle w:val="TableContents"/>
            </w:pPr>
            <w:r>
              <w:t>Ahmedabad Plant</w:t>
            </w:r>
          </w:p>
        </w:tc>
        <w:tc>
          <w:tcPr>
            <w:tcW w:w="2467" w:type="dxa"/>
            <w:tcBorders>
              <w:left w:val="single" w:sz="4" w:space="0" w:color="000000"/>
              <w:bottom w:val="single" w:sz="4" w:space="0" w:color="000000"/>
            </w:tcBorders>
          </w:tcPr>
          <w:p w14:paraId="701AFB59" w14:textId="77777777" w:rsidR="00634E30" w:rsidRDefault="00634E30">
            <w:pPr>
              <w:pStyle w:val="TableContents"/>
            </w:pPr>
          </w:p>
        </w:tc>
        <w:tc>
          <w:tcPr>
            <w:tcW w:w="2466" w:type="dxa"/>
            <w:tcBorders>
              <w:left w:val="single" w:sz="4" w:space="0" w:color="000000"/>
              <w:bottom w:val="single" w:sz="4" w:space="0" w:color="000000"/>
            </w:tcBorders>
          </w:tcPr>
          <w:p w14:paraId="562976EC" w14:textId="77777777" w:rsidR="00634E30" w:rsidRDefault="00000000">
            <w:pPr>
              <w:pStyle w:val="TableContents"/>
            </w:pPr>
            <w:r>
              <w:t>42.6%</w:t>
            </w:r>
          </w:p>
        </w:tc>
        <w:tc>
          <w:tcPr>
            <w:tcW w:w="2467" w:type="dxa"/>
            <w:tcBorders>
              <w:left w:val="single" w:sz="4" w:space="0" w:color="000000"/>
              <w:bottom w:val="single" w:sz="4" w:space="0" w:color="000000"/>
              <w:right w:val="single" w:sz="4" w:space="0" w:color="000000"/>
            </w:tcBorders>
          </w:tcPr>
          <w:p w14:paraId="0FC423AA" w14:textId="77777777" w:rsidR="00634E30" w:rsidRDefault="00000000">
            <w:pPr>
              <w:pStyle w:val="TableContents"/>
            </w:pPr>
            <w:r>
              <w:t>77,726</w:t>
            </w:r>
          </w:p>
        </w:tc>
      </w:tr>
      <w:tr w:rsidR="00634E30" w14:paraId="35B24A9B" w14:textId="77777777">
        <w:tc>
          <w:tcPr>
            <w:tcW w:w="2466" w:type="dxa"/>
            <w:tcBorders>
              <w:left w:val="single" w:sz="4" w:space="0" w:color="000000"/>
              <w:bottom w:val="single" w:sz="4" w:space="0" w:color="000000"/>
            </w:tcBorders>
          </w:tcPr>
          <w:p w14:paraId="6E19C7BC" w14:textId="77777777" w:rsidR="00634E30" w:rsidRDefault="00000000">
            <w:pPr>
              <w:pStyle w:val="TableContents"/>
            </w:pPr>
            <w:r>
              <w:t>Bengaluru Plant</w:t>
            </w:r>
          </w:p>
        </w:tc>
        <w:tc>
          <w:tcPr>
            <w:tcW w:w="2467" w:type="dxa"/>
            <w:tcBorders>
              <w:left w:val="single" w:sz="4" w:space="0" w:color="000000"/>
              <w:bottom w:val="single" w:sz="4" w:space="0" w:color="000000"/>
            </w:tcBorders>
          </w:tcPr>
          <w:p w14:paraId="6E1065AA" w14:textId="77777777" w:rsidR="00634E30" w:rsidRDefault="00634E30">
            <w:pPr>
              <w:pStyle w:val="TableContents"/>
            </w:pPr>
          </w:p>
        </w:tc>
        <w:tc>
          <w:tcPr>
            <w:tcW w:w="2466" w:type="dxa"/>
            <w:tcBorders>
              <w:left w:val="single" w:sz="4" w:space="0" w:color="000000"/>
              <w:bottom w:val="single" w:sz="4" w:space="0" w:color="000000"/>
            </w:tcBorders>
          </w:tcPr>
          <w:p w14:paraId="06191A08" w14:textId="77777777" w:rsidR="00634E30" w:rsidRDefault="00000000">
            <w:pPr>
              <w:pStyle w:val="TableContents"/>
            </w:pPr>
            <w:r>
              <w:t>45.1%</w:t>
            </w:r>
          </w:p>
        </w:tc>
        <w:tc>
          <w:tcPr>
            <w:tcW w:w="2467" w:type="dxa"/>
            <w:tcBorders>
              <w:left w:val="single" w:sz="4" w:space="0" w:color="000000"/>
              <w:bottom w:val="single" w:sz="4" w:space="0" w:color="000000"/>
              <w:right w:val="single" w:sz="4" w:space="0" w:color="000000"/>
            </w:tcBorders>
          </w:tcPr>
          <w:p w14:paraId="0C084E58" w14:textId="77777777" w:rsidR="00634E30" w:rsidRDefault="00000000">
            <w:pPr>
              <w:pStyle w:val="TableContents"/>
            </w:pPr>
            <w:r>
              <w:t>73,436</w:t>
            </w:r>
          </w:p>
        </w:tc>
      </w:tr>
      <w:tr w:rsidR="00634E30" w14:paraId="3680B51F" w14:textId="77777777">
        <w:tc>
          <w:tcPr>
            <w:tcW w:w="2466" w:type="dxa"/>
            <w:tcBorders>
              <w:left w:val="single" w:sz="4" w:space="0" w:color="000000"/>
              <w:bottom w:val="single" w:sz="4" w:space="0" w:color="000000"/>
            </w:tcBorders>
          </w:tcPr>
          <w:p w14:paraId="13E4DE79" w14:textId="77777777" w:rsidR="00634E30" w:rsidRDefault="00000000">
            <w:pPr>
              <w:pStyle w:val="TableContents"/>
            </w:pPr>
            <w:r>
              <w:t>Chennai Plant</w:t>
            </w:r>
          </w:p>
        </w:tc>
        <w:tc>
          <w:tcPr>
            <w:tcW w:w="2467" w:type="dxa"/>
            <w:tcBorders>
              <w:left w:val="single" w:sz="4" w:space="0" w:color="000000"/>
              <w:bottom w:val="single" w:sz="4" w:space="0" w:color="000000"/>
            </w:tcBorders>
          </w:tcPr>
          <w:p w14:paraId="4E378A58" w14:textId="77777777" w:rsidR="00634E30" w:rsidRDefault="00634E30">
            <w:pPr>
              <w:pStyle w:val="TableContents"/>
            </w:pPr>
          </w:p>
        </w:tc>
        <w:tc>
          <w:tcPr>
            <w:tcW w:w="2466" w:type="dxa"/>
            <w:tcBorders>
              <w:left w:val="single" w:sz="4" w:space="0" w:color="000000"/>
              <w:bottom w:val="single" w:sz="4" w:space="0" w:color="000000"/>
            </w:tcBorders>
          </w:tcPr>
          <w:p w14:paraId="43C32943" w14:textId="77777777" w:rsidR="00634E30" w:rsidRDefault="00000000">
            <w:pPr>
              <w:pStyle w:val="TableContents"/>
            </w:pPr>
            <w:r>
              <w:t>45.3%</w:t>
            </w:r>
          </w:p>
        </w:tc>
        <w:tc>
          <w:tcPr>
            <w:tcW w:w="2467" w:type="dxa"/>
            <w:tcBorders>
              <w:left w:val="single" w:sz="4" w:space="0" w:color="000000"/>
              <w:bottom w:val="single" w:sz="4" w:space="0" w:color="000000"/>
              <w:right w:val="single" w:sz="4" w:space="0" w:color="000000"/>
            </w:tcBorders>
          </w:tcPr>
          <w:p w14:paraId="3112BA45" w14:textId="77777777" w:rsidR="00634E30" w:rsidRDefault="00000000">
            <w:pPr>
              <w:pStyle w:val="TableContents"/>
            </w:pPr>
            <w:r>
              <w:t>64,783</w:t>
            </w:r>
          </w:p>
        </w:tc>
      </w:tr>
    </w:tbl>
    <w:p w14:paraId="02B127C1" w14:textId="77777777" w:rsidR="00634E30" w:rsidRDefault="00634E30">
      <w:pPr>
        <w:spacing w:after="102"/>
        <w:jc w:val="center"/>
        <w:rPr>
          <w:b/>
          <w:color w:val="2F5D50"/>
          <w:sz w:val="40"/>
        </w:rPr>
      </w:pPr>
    </w:p>
    <w:p w14:paraId="614EC125" w14:textId="77777777" w:rsidR="00634E30" w:rsidRDefault="00000000">
      <w:pPr>
        <w:spacing w:after="68"/>
        <w:jc w:val="center"/>
        <w:rPr>
          <w:color w:val="2F5D50"/>
          <w:sz w:val="20"/>
        </w:rPr>
      </w:pPr>
      <w:r>
        <w:rPr>
          <w:color w:val="2F5D50"/>
          <w:sz w:val="20"/>
        </w:rPr>
        <w:t>End of report.</w:t>
      </w:r>
    </w:p>
    <w:p w14:paraId="2554A4D4" w14:textId="3A9791AE" w:rsidR="00634E30" w:rsidRDefault="00634E30">
      <w:pPr>
        <w:spacing w:after="68"/>
        <w:jc w:val="center"/>
        <w:rPr>
          <w:color w:val="2F5D50"/>
          <w:sz w:val="20"/>
        </w:rPr>
      </w:pPr>
    </w:p>
    <w:sectPr w:rsidR="00634E30">
      <w:pgSz w:w="11906" w:h="16838"/>
      <w:pgMar w:top="907" w:right="1020" w:bottom="907" w:left="1020"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634E30"/>
    <w:rsid w:val="0015115D"/>
    <w:rsid w:val="004857BF"/>
    <w:rsid w:val="00634E30"/>
    <w:rsid w:val="00743329"/>
    <w:rsid w:val="00827CDD"/>
    <w:rsid w:val="009F1AAD"/>
    <w:rsid w:val="00E26D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9798A"/>
  <w15:docId w15:val="{BB20AC47-81A9-4B72-B439-8791F8BAD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hart" Target="charts/chart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rot="0"/>
          <a:lstStyle/>
          <a:p>
            <a:pPr>
              <a:defRPr sz="1200" b="1" u="none" strike="noStrike">
                <a:uFillTx/>
                <a:latin typeface="Arial"/>
              </a:defRPr>
            </a:pPr>
            <a:r>
              <a:rPr lang="en-IN" sz="1200" b="1" u="none" strike="noStrike">
                <a:uFillTx/>
                <a:latin typeface="Arial"/>
              </a:rPr>
              <a:t>GHG Emissions by Scope</a:t>
            </a:r>
          </a:p>
        </c:rich>
      </c:tx>
      <c:overlay val="0"/>
      <c:spPr>
        <a:noFill/>
        <a:ln w="0">
          <a:noFill/>
        </a:ln>
      </c:spPr>
    </c:title>
    <c:autoTitleDeleted val="0"/>
    <c:plotArea>
      <c:layout/>
      <c:lineChart>
        <c:grouping val="standard"/>
        <c:varyColors val="0"/>
        <c:ser>
          <c:idx val="0"/>
          <c:order val="0"/>
          <c:tx>
            <c:strRef>
              <c:f>Sheet1!$B$1</c:f>
              <c:strCache>
                <c:ptCount val="1"/>
                <c:pt idx="0">
                  <c:v>Scope 1</c:v>
                </c:pt>
              </c:strCache>
            </c:strRef>
          </c:tx>
          <c:spPr>
            <a:ln w="28800">
              <a:solidFill>
                <a:srgbClr val="004586"/>
              </a:solidFill>
              <a:round/>
            </a:ln>
          </c:spPr>
          <c:marker>
            <c:symbol val="square"/>
            <c:size val="8"/>
            <c:spPr>
              <a:solidFill>
                <a:srgbClr val="004586"/>
              </a:solidFill>
            </c:spPr>
          </c:marker>
          <c:dLbls>
            <c:spPr>
              <a:noFill/>
              <a:ln>
                <a:noFill/>
              </a:ln>
              <a:effectLst/>
            </c:spPr>
            <c:txPr>
              <a:bodyPr wrap="none"/>
              <a:lstStyle/>
              <a:p>
                <a:pPr>
                  <a:defRPr sz="1000" b="0" u="none" strike="noStrike">
                    <a:uFillTx/>
                    <a:latin typeface="Arial"/>
                  </a:defRPr>
                </a:pPr>
                <a:endParaRPr lang="en-US"/>
              </a:p>
            </c:txPr>
            <c:showLegendKey val="0"/>
            <c:showVal val="1"/>
            <c:showCatName val="0"/>
            <c:showSerName val="0"/>
            <c:showPercent val="0"/>
            <c:showBubbleSize val="1"/>
            <c:separator> </c:separator>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28800">
                      <a:solidFill>
                        <a:srgbClr val="000000"/>
                      </a:solidFill>
                    </a:ln>
                  </c:spPr>
                </c15:leaderLines>
              </c:ext>
            </c:extLst>
          </c:dLbls>
          <c:cat>
            <c:numRef>
              <c:f>Sheet1!$A$2:$A$6</c:f>
              <c:numCache>
                <c:formatCode>General</c:formatCode>
                <c:ptCount val="5"/>
                <c:pt idx="0">
                  <c:v>2021</c:v>
                </c:pt>
                <c:pt idx="1">
                  <c:v>2022</c:v>
                </c:pt>
                <c:pt idx="2">
                  <c:v>2023</c:v>
                </c:pt>
                <c:pt idx="3">
                  <c:v>2024</c:v>
                </c:pt>
                <c:pt idx="4">
                  <c:v>2025</c:v>
                </c:pt>
              </c:numCache>
            </c:numRef>
          </c:cat>
          <c:val>
            <c:numRef>
              <c:f>Sheet1!$B$2:$B$6</c:f>
              <c:numCache>
                <c:formatCode>General</c:formatCode>
                <c:ptCount val="5"/>
                <c:pt idx="0">
                  <c:v>19504</c:v>
                </c:pt>
                <c:pt idx="1">
                  <c:v>19273</c:v>
                </c:pt>
                <c:pt idx="2">
                  <c:v>19213</c:v>
                </c:pt>
                <c:pt idx="3">
                  <c:v>18837</c:v>
                </c:pt>
                <c:pt idx="4">
                  <c:v>18590</c:v>
                </c:pt>
              </c:numCache>
            </c:numRef>
          </c:val>
          <c:smooth val="0"/>
          <c:extLst>
            <c:ext xmlns:c16="http://schemas.microsoft.com/office/drawing/2014/chart" uri="{C3380CC4-5D6E-409C-BE32-E72D297353CC}">
              <c16:uniqueId val="{00000000-188E-4357-B503-1BD49130A400}"/>
            </c:ext>
          </c:extLst>
        </c:ser>
        <c:ser>
          <c:idx val="1"/>
          <c:order val="1"/>
          <c:tx>
            <c:strRef>
              <c:f>Sheet1!$C$1</c:f>
              <c:strCache>
                <c:ptCount val="1"/>
                <c:pt idx="0">
                  <c:v>Scope 2</c:v>
                </c:pt>
              </c:strCache>
            </c:strRef>
          </c:tx>
          <c:spPr>
            <a:ln w="28800">
              <a:solidFill>
                <a:srgbClr val="FF420E"/>
              </a:solidFill>
              <a:round/>
            </a:ln>
          </c:spPr>
          <c:marker>
            <c:symbol val="diamond"/>
            <c:size val="8"/>
            <c:spPr>
              <a:solidFill>
                <a:srgbClr val="FF420E"/>
              </a:solidFill>
            </c:spPr>
          </c:marker>
          <c:dLbls>
            <c:spPr>
              <a:noFill/>
              <a:ln>
                <a:noFill/>
              </a:ln>
              <a:effectLst/>
            </c:spPr>
            <c:txPr>
              <a:bodyPr wrap="none"/>
              <a:lstStyle/>
              <a:p>
                <a:pPr>
                  <a:defRPr sz="1000" b="0" u="none" strike="noStrike">
                    <a:uFillTx/>
                    <a:latin typeface="Arial"/>
                  </a:defRPr>
                </a:pPr>
                <a:endParaRPr lang="en-US"/>
              </a:p>
            </c:txPr>
            <c:showLegendKey val="0"/>
            <c:showVal val="1"/>
            <c:showCatName val="0"/>
            <c:showSerName val="0"/>
            <c:showPercent val="0"/>
            <c:showBubbleSize val="1"/>
            <c:separator> </c:separator>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28800">
                      <a:solidFill>
                        <a:srgbClr val="000000"/>
                      </a:solidFill>
                    </a:ln>
                  </c:spPr>
                </c15:leaderLines>
              </c:ext>
            </c:extLst>
          </c:dLbls>
          <c:cat>
            <c:numRef>
              <c:f>Sheet1!$A$2:$A$6</c:f>
              <c:numCache>
                <c:formatCode>General</c:formatCode>
                <c:ptCount val="5"/>
                <c:pt idx="0">
                  <c:v>2021</c:v>
                </c:pt>
                <c:pt idx="1">
                  <c:v>2022</c:v>
                </c:pt>
                <c:pt idx="2">
                  <c:v>2023</c:v>
                </c:pt>
                <c:pt idx="3">
                  <c:v>2024</c:v>
                </c:pt>
                <c:pt idx="4">
                  <c:v>2025</c:v>
                </c:pt>
              </c:numCache>
            </c:numRef>
          </c:cat>
          <c:val>
            <c:numRef>
              <c:f>Sheet1!$C$2:$C$6</c:f>
              <c:numCache>
                <c:formatCode>General</c:formatCode>
                <c:ptCount val="5"/>
                <c:pt idx="0">
                  <c:v>16440</c:v>
                </c:pt>
                <c:pt idx="1">
                  <c:v>16020</c:v>
                </c:pt>
                <c:pt idx="2">
                  <c:v>15376</c:v>
                </c:pt>
                <c:pt idx="3">
                  <c:v>14626</c:v>
                </c:pt>
                <c:pt idx="4">
                  <c:v>14114</c:v>
                </c:pt>
              </c:numCache>
            </c:numRef>
          </c:val>
          <c:smooth val="0"/>
          <c:extLst>
            <c:ext xmlns:c16="http://schemas.microsoft.com/office/drawing/2014/chart" uri="{C3380CC4-5D6E-409C-BE32-E72D297353CC}">
              <c16:uniqueId val="{00000001-188E-4357-B503-1BD49130A400}"/>
            </c:ext>
          </c:extLst>
        </c:ser>
        <c:ser>
          <c:idx val="2"/>
          <c:order val="2"/>
          <c:tx>
            <c:strRef>
              <c:f>Sheet1!$D$1</c:f>
              <c:strCache>
                <c:ptCount val="1"/>
                <c:pt idx="0">
                  <c:v>Scope 3</c:v>
                </c:pt>
              </c:strCache>
            </c:strRef>
          </c:tx>
          <c:spPr>
            <a:ln w="28800">
              <a:solidFill>
                <a:srgbClr val="FFD320"/>
              </a:solidFill>
              <a:round/>
            </a:ln>
          </c:spPr>
          <c:marker>
            <c:symbol val="triangle"/>
            <c:size val="8"/>
            <c:spPr>
              <a:solidFill>
                <a:srgbClr val="FFD320"/>
              </a:solidFill>
            </c:spPr>
          </c:marker>
          <c:dLbls>
            <c:spPr>
              <a:noFill/>
              <a:ln>
                <a:noFill/>
              </a:ln>
              <a:effectLst/>
            </c:spPr>
            <c:txPr>
              <a:bodyPr wrap="none"/>
              <a:lstStyle/>
              <a:p>
                <a:pPr>
                  <a:defRPr sz="1000" b="0" u="none" strike="noStrike">
                    <a:uFillTx/>
                    <a:latin typeface="Arial"/>
                  </a:defRPr>
                </a:pPr>
                <a:endParaRPr lang="en-US"/>
              </a:p>
            </c:txPr>
            <c:showLegendKey val="0"/>
            <c:showVal val="1"/>
            <c:showCatName val="0"/>
            <c:showSerName val="0"/>
            <c:showPercent val="0"/>
            <c:showBubbleSize val="1"/>
            <c:separator> </c:separator>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28800">
                      <a:solidFill>
                        <a:srgbClr val="000000"/>
                      </a:solidFill>
                    </a:ln>
                  </c:spPr>
                </c15:leaderLines>
              </c:ext>
            </c:extLst>
          </c:dLbls>
          <c:cat>
            <c:numRef>
              <c:f>Sheet1!$A$2:$A$6</c:f>
              <c:numCache>
                <c:formatCode>General</c:formatCode>
                <c:ptCount val="5"/>
                <c:pt idx="0">
                  <c:v>2021</c:v>
                </c:pt>
                <c:pt idx="1">
                  <c:v>2022</c:v>
                </c:pt>
                <c:pt idx="2">
                  <c:v>2023</c:v>
                </c:pt>
                <c:pt idx="3">
                  <c:v>2024</c:v>
                </c:pt>
                <c:pt idx="4">
                  <c:v>2025</c:v>
                </c:pt>
              </c:numCache>
            </c:numRef>
          </c:cat>
          <c:val>
            <c:numRef>
              <c:f>Sheet1!$D$2:$D$6</c:f>
              <c:numCache>
                <c:formatCode>General</c:formatCode>
                <c:ptCount val="5"/>
                <c:pt idx="0">
                  <c:v>33045</c:v>
                </c:pt>
                <c:pt idx="1">
                  <c:v>32914</c:v>
                </c:pt>
                <c:pt idx="2">
                  <c:v>33209</c:v>
                </c:pt>
                <c:pt idx="3">
                  <c:v>33323</c:v>
                </c:pt>
                <c:pt idx="4">
                  <c:v>33211</c:v>
                </c:pt>
              </c:numCache>
            </c:numRef>
          </c:val>
          <c:smooth val="0"/>
          <c:extLst>
            <c:ext xmlns:c16="http://schemas.microsoft.com/office/drawing/2014/chart" uri="{C3380CC4-5D6E-409C-BE32-E72D297353CC}">
              <c16:uniqueId val="{00000002-188E-4357-B503-1BD49130A400}"/>
            </c:ext>
          </c:extLst>
        </c:ser>
        <c:dLbls>
          <c:showLegendKey val="0"/>
          <c:showVal val="0"/>
          <c:showCatName val="0"/>
          <c:showSerName val="0"/>
          <c:showPercent val="0"/>
          <c:showBubbleSize val="0"/>
        </c:dLbls>
        <c:hiLowLines>
          <c:spPr>
            <a:ln w="0">
              <a:noFill/>
            </a:ln>
          </c:spPr>
        </c:hiLowLines>
        <c:marker val="1"/>
        <c:smooth val="0"/>
        <c:axId val="34846076"/>
        <c:axId val="17088388"/>
      </c:lineChart>
      <c:catAx>
        <c:axId val="34846076"/>
        <c:scaling>
          <c:orientation val="minMax"/>
        </c:scaling>
        <c:delete val="0"/>
        <c:axPos val="b"/>
        <c:numFmt formatCode="General" sourceLinked="1"/>
        <c:majorTickMark val="out"/>
        <c:minorTickMark val="none"/>
        <c:tickLblPos val="nextTo"/>
        <c:spPr>
          <a:ln w="0">
            <a:solidFill>
              <a:srgbClr val="B3B3B3"/>
            </a:solidFill>
          </a:ln>
        </c:spPr>
        <c:txPr>
          <a:bodyPr/>
          <a:lstStyle/>
          <a:p>
            <a:pPr>
              <a:defRPr sz="1000" b="0" u="none" strike="noStrike">
                <a:uFillTx/>
                <a:latin typeface="Arial"/>
              </a:defRPr>
            </a:pPr>
            <a:endParaRPr lang="en-US"/>
          </a:p>
        </c:txPr>
        <c:crossAx val="17088388"/>
        <c:crosses val="autoZero"/>
        <c:auto val="1"/>
        <c:lblAlgn val="ctr"/>
        <c:lblOffset val="100"/>
        <c:noMultiLvlLbl val="0"/>
      </c:catAx>
      <c:valAx>
        <c:axId val="17088388"/>
        <c:scaling>
          <c:orientation val="minMax"/>
        </c:scaling>
        <c:delete val="0"/>
        <c:axPos val="l"/>
        <c:majorGridlines>
          <c:spPr>
            <a:ln w="0">
              <a:solidFill>
                <a:srgbClr val="B3B3B3"/>
              </a:solidFill>
            </a:ln>
          </c:spPr>
        </c:majorGridlines>
        <c:numFmt formatCode="General" sourceLinked="1"/>
        <c:majorTickMark val="out"/>
        <c:minorTickMark val="none"/>
        <c:tickLblPos val="nextTo"/>
        <c:spPr>
          <a:ln w="0">
            <a:solidFill>
              <a:srgbClr val="B3B3B3"/>
            </a:solidFill>
          </a:ln>
        </c:spPr>
        <c:txPr>
          <a:bodyPr/>
          <a:lstStyle/>
          <a:p>
            <a:pPr>
              <a:defRPr sz="1000" b="0" u="none" strike="noStrike">
                <a:uFillTx/>
                <a:latin typeface="Arial"/>
              </a:defRPr>
            </a:pPr>
            <a:endParaRPr lang="en-US"/>
          </a:p>
        </c:txPr>
        <c:crossAx val="34846076"/>
        <c:crosses val="autoZero"/>
        <c:crossBetween val="midCat"/>
      </c:valAx>
      <c:spPr>
        <a:solidFill>
          <a:srgbClr val="D9D9D9"/>
        </a:solidFill>
        <a:ln w="0">
          <a:noFill/>
        </a:ln>
      </c:spPr>
    </c:plotArea>
    <c:legend>
      <c:legendPos val="b"/>
      <c:overlay val="0"/>
      <c:spPr>
        <a:solidFill>
          <a:srgbClr val="D9D9D9"/>
        </a:solidFill>
        <a:ln w="0">
          <a:solidFill>
            <a:srgbClr val="000000"/>
          </a:solidFill>
        </a:ln>
      </c:spPr>
      <c:txPr>
        <a:bodyPr/>
        <a:lstStyle/>
        <a:p>
          <a:pPr>
            <a:defRPr sz="800" b="0" u="none" strike="noStrike">
              <a:uFillTx/>
              <a:latin typeface="Arial"/>
            </a:defRPr>
          </a:pPr>
          <a:endParaRPr lang="en-US"/>
        </a:p>
      </c:txPr>
    </c:legend>
    <c:plotVisOnly val="0"/>
    <c:dispBlanksAs val="gap"/>
    <c:showDLblsOverMax val="1"/>
  </c:chart>
  <c:spPr>
    <a:solidFill>
      <a:srgbClr val="FFFFFF"/>
    </a:solidFill>
    <a:ln w="0">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rot="0"/>
          <a:lstStyle/>
          <a:p>
            <a:pPr>
              <a:defRPr sz="1200" b="1" u="none" strike="noStrike">
                <a:uFillTx/>
                <a:latin typeface="Arial"/>
              </a:defRPr>
            </a:pPr>
            <a:r>
              <a:rPr lang="en-IN" sz="1200" b="1" u="none" strike="noStrike">
                <a:uFillTx/>
                <a:latin typeface="Arial"/>
              </a:rPr>
              <a:t>Resource &amp; Waste Performance</a:t>
            </a:r>
          </a:p>
        </c:rich>
      </c:tx>
      <c:overlay val="0"/>
      <c:spPr>
        <a:noFill/>
        <a:ln w="0">
          <a:noFill/>
        </a:ln>
      </c:spPr>
    </c:title>
    <c:autoTitleDeleted val="0"/>
    <c:plotArea>
      <c:layout/>
      <c:lineChart>
        <c:grouping val="standard"/>
        <c:varyColors val="0"/>
        <c:ser>
          <c:idx val="0"/>
          <c:order val="0"/>
          <c:tx>
            <c:strRef>
              <c:f>Sheet1!$B$1</c:f>
              <c:strCache>
                <c:ptCount val="1"/>
                <c:pt idx="0">
                  <c:v>Renewable Energy %</c:v>
                </c:pt>
              </c:strCache>
            </c:strRef>
          </c:tx>
          <c:spPr>
            <a:ln w="28800">
              <a:solidFill>
                <a:srgbClr val="004586"/>
              </a:solidFill>
              <a:round/>
            </a:ln>
          </c:spPr>
          <c:marker>
            <c:symbol val="square"/>
            <c:size val="8"/>
            <c:spPr>
              <a:solidFill>
                <a:srgbClr val="004586"/>
              </a:solidFill>
            </c:spPr>
          </c:marker>
          <c:dLbls>
            <c:spPr>
              <a:noFill/>
              <a:ln>
                <a:noFill/>
              </a:ln>
              <a:effectLst/>
            </c:spPr>
            <c:txPr>
              <a:bodyPr wrap="none"/>
              <a:lstStyle/>
              <a:p>
                <a:pPr>
                  <a:defRPr sz="1000" b="0" u="none" strike="noStrike">
                    <a:uFillTx/>
                    <a:latin typeface="Arial"/>
                  </a:defRPr>
                </a:pPr>
                <a:endParaRPr lang="en-US"/>
              </a:p>
            </c:txPr>
            <c:showLegendKey val="0"/>
            <c:showVal val="1"/>
            <c:showCatName val="0"/>
            <c:showSerName val="0"/>
            <c:showPercent val="0"/>
            <c:showBubbleSize val="1"/>
            <c:separator> </c:separator>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28800">
                      <a:solidFill>
                        <a:srgbClr val="000000"/>
                      </a:solidFill>
                    </a:ln>
                  </c:spPr>
                </c15:leaderLines>
              </c:ext>
            </c:extLst>
          </c:dLbls>
          <c:cat>
            <c:numRef>
              <c:f>Sheet1!$A$2:$A$6</c:f>
              <c:numCache>
                <c:formatCode>General</c:formatCode>
                <c:ptCount val="5"/>
                <c:pt idx="0">
                  <c:v>2021</c:v>
                </c:pt>
                <c:pt idx="1">
                  <c:v>2022</c:v>
                </c:pt>
                <c:pt idx="2">
                  <c:v>2023</c:v>
                </c:pt>
                <c:pt idx="3">
                  <c:v>2024</c:v>
                </c:pt>
                <c:pt idx="4">
                  <c:v>2025</c:v>
                </c:pt>
              </c:numCache>
            </c:numRef>
          </c:cat>
          <c:val>
            <c:numRef>
              <c:f>Sheet1!$B$2:$B$6</c:f>
              <c:numCache>
                <c:formatCode>General</c:formatCode>
                <c:ptCount val="5"/>
                <c:pt idx="0">
                  <c:v>22.6</c:v>
                </c:pt>
                <c:pt idx="1">
                  <c:v>27.8</c:v>
                </c:pt>
                <c:pt idx="2">
                  <c:v>33.299999999999997</c:v>
                </c:pt>
                <c:pt idx="3">
                  <c:v>38.700000000000003</c:v>
                </c:pt>
                <c:pt idx="4">
                  <c:v>43.9</c:v>
                </c:pt>
              </c:numCache>
            </c:numRef>
          </c:val>
          <c:smooth val="0"/>
          <c:extLst>
            <c:ext xmlns:c16="http://schemas.microsoft.com/office/drawing/2014/chart" uri="{C3380CC4-5D6E-409C-BE32-E72D297353CC}">
              <c16:uniqueId val="{00000000-41E4-4F86-A633-936840120D61}"/>
            </c:ext>
          </c:extLst>
        </c:ser>
        <c:ser>
          <c:idx val="1"/>
          <c:order val="1"/>
          <c:tx>
            <c:strRef>
              <c:f>Sheet1!$C$1</c:f>
              <c:strCache>
                <c:ptCount val="1"/>
                <c:pt idx="0">
                  <c:v>Waste Recycling %</c:v>
                </c:pt>
              </c:strCache>
            </c:strRef>
          </c:tx>
          <c:spPr>
            <a:ln w="28800">
              <a:solidFill>
                <a:srgbClr val="FF420E"/>
              </a:solidFill>
              <a:round/>
            </a:ln>
          </c:spPr>
          <c:marker>
            <c:symbol val="diamond"/>
            <c:size val="8"/>
            <c:spPr>
              <a:solidFill>
                <a:srgbClr val="FF420E"/>
              </a:solidFill>
            </c:spPr>
          </c:marker>
          <c:dLbls>
            <c:spPr>
              <a:noFill/>
              <a:ln>
                <a:noFill/>
              </a:ln>
              <a:effectLst/>
            </c:spPr>
            <c:txPr>
              <a:bodyPr wrap="none"/>
              <a:lstStyle/>
              <a:p>
                <a:pPr>
                  <a:defRPr sz="1000" b="0" u="none" strike="noStrike">
                    <a:uFillTx/>
                    <a:latin typeface="Arial"/>
                  </a:defRPr>
                </a:pPr>
                <a:endParaRPr lang="en-US"/>
              </a:p>
            </c:txPr>
            <c:showLegendKey val="0"/>
            <c:showVal val="1"/>
            <c:showCatName val="0"/>
            <c:showSerName val="0"/>
            <c:showPercent val="0"/>
            <c:showBubbleSize val="1"/>
            <c:separator> </c:separator>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28800">
                      <a:solidFill>
                        <a:srgbClr val="000000"/>
                      </a:solidFill>
                    </a:ln>
                  </c:spPr>
                </c15:leaderLines>
              </c:ext>
            </c:extLst>
          </c:dLbls>
          <c:cat>
            <c:numRef>
              <c:f>Sheet1!$A$2:$A$6</c:f>
              <c:numCache>
                <c:formatCode>General</c:formatCode>
                <c:ptCount val="5"/>
                <c:pt idx="0">
                  <c:v>2021</c:v>
                </c:pt>
                <c:pt idx="1">
                  <c:v>2022</c:v>
                </c:pt>
                <c:pt idx="2">
                  <c:v>2023</c:v>
                </c:pt>
                <c:pt idx="3">
                  <c:v>2024</c:v>
                </c:pt>
                <c:pt idx="4">
                  <c:v>2025</c:v>
                </c:pt>
              </c:numCache>
            </c:numRef>
          </c:cat>
          <c:val>
            <c:numRef>
              <c:f>Sheet1!$C$2:$C$6</c:f>
              <c:numCache>
                <c:formatCode>General</c:formatCode>
                <c:ptCount val="5"/>
                <c:pt idx="0">
                  <c:v>66.900000000000006</c:v>
                </c:pt>
                <c:pt idx="1">
                  <c:v>70.8</c:v>
                </c:pt>
                <c:pt idx="2">
                  <c:v>75.2</c:v>
                </c:pt>
                <c:pt idx="3">
                  <c:v>79.099999999999994</c:v>
                </c:pt>
                <c:pt idx="4">
                  <c:v>83.4</c:v>
                </c:pt>
              </c:numCache>
            </c:numRef>
          </c:val>
          <c:smooth val="0"/>
          <c:extLst>
            <c:ext xmlns:c16="http://schemas.microsoft.com/office/drawing/2014/chart" uri="{C3380CC4-5D6E-409C-BE32-E72D297353CC}">
              <c16:uniqueId val="{00000001-41E4-4F86-A633-936840120D61}"/>
            </c:ext>
          </c:extLst>
        </c:ser>
        <c:dLbls>
          <c:showLegendKey val="0"/>
          <c:showVal val="0"/>
          <c:showCatName val="0"/>
          <c:showSerName val="0"/>
          <c:showPercent val="0"/>
          <c:showBubbleSize val="0"/>
        </c:dLbls>
        <c:hiLowLines>
          <c:spPr>
            <a:ln w="0">
              <a:noFill/>
            </a:ln>
          </c:spPr>
        </c:hiLowLines>
        <c:marker val="1"/>
        <c:smooth val="0"/>
        <c:axId val="1989982"/>
        <c:axId val="20279389"/>
      </c:lineChart>
      <c:catAx>
        <c:axId val="1989982"/>
        <c:scaling>
          <c:orientation val="minMax"/>
        </c:scaling>
        <c:delete val="0"/>
        <c:axPos val="b"/>
        <c:numFmt formatCode="General" sourceLinked="1"/>
        <c:majorTickMark val="out"/>
        <c:minorTickMark val="none"/>
        <c:tickLblPos val="nextTo"/>
        <c:spPr>
          <a:ln w="0">
            <a:solidFill>
              <a:srgbClr val="B3B3B3"/>
            </a:solidFill>
          </a:ln>
        </c:spPr>
        <c:txPr>
          <a:bodyPr/>
          <a:lstStyle/>
          <a:p>
            <a:pPr>
              <a:defRPr sz="1000" b="0" u="none" strike="noStrike">
                <a:uFillTx/>
                <a:latin typeface="Arial"/>
              </a:defRPr>
            </a:pPr>
            <a:endParaRPr lang="en-US"/>
          </a:p>
        </c:txPr>
        <c:crossAx val="20279389"/>
        <c:crosses val="autoZero"/>
        <c:auto val="1"/>
        <c:lblAlgn val="ctr"/>
        <c:lblOffset val="100"/>
        <c:noMultiLvlLbl val="0"/>
      </c:catAx>
      <c:valAx>
        <c:axId val="20279389"/>
        <c:scaling>
          <c:orientation val="minMax"/>
        </c:scaling>
        <c:delete val="0"/>
        <c:axPos val="l"/>
        <c:majorGridlines>
          <c:spPr>
            <a:ln w="0">
              <a:solidFill>
                <a:srgbClr val="B3B3B3"/>
              </a:solidFill>
            </a:ln>
          </c:spPr>
        </c:majorGridlines>
        <c:numFmt formatCode="General" sourceLinked="1"/>
        <c:majorTickMark val="out"/>
        <c:minorTickMark val="none"/>
        <c:tickLblPos val="nextTo"/>
        <c:spPr>
          <a:ln w="0">
            <a:solidFill>
              <a:srgbClr val="B3B3B3"/>
            </a:solidFill>
          </a:ln>
        </c:spPr>
        <c:txPr>
          <a:bodyPr/>
          <a:lstStyle/>
          <a:p>
            <a:pPr>
              <a:defRPr sz="1000" b="0" u="none" strike="noStrike">
                <a:uFillTx/>
                <a:latin typeface="Arial"/>
              </a:defRPr>
            </a:pPr>
            <a:endParaRPr lang="en-US"/>
          </a:p>
        </c:txPr>
        <c:crossAx val="1989982"/>
        <c:crosses val="autoZero"/>
        <c:crossBetween val="midCat"/>
      </c:valAx>
      <c:spPr>
        <a:solidFill>
          <a:srgbClr val="D9D9D9"/>
        </a:solidFill>
        <a:ln w="0">
          <a:noFill/>
        </a:ln>
      </c:spPr>
    </c:plotArea>
    <c:legend>
      <c:legendPos val="b"/>
      <c:overlay val="0"/>
      <c:spPr>
        <a:solidFill>
          <a:srgbClr val="D9D9D9"/>
        </a:solidFill>
        <a:ln w="0">
          <a:solidFill>
            <a:srgbClr val="000000"/>
          </a:solidFill>
        </a:ln>
      </c:spPr>
      <c:txPr>
        <a:bodyPr/>
        <a:lstStyle/>
        <a:p>
          <a:pPr>
            <a:defRPr sz="800" b="0" u="none" strike="noStrike">
              <a:uFillTx/>
              <a:latin typeface="Arial"/>
            </a:defRPr>
          </a:pPr>
          <a:endParaRPr lang="en-US"/>
        </a:p>
      </c:txPr>
    </c:legend>
    <c:plotVisOnly val="0"/>
    <c:dispBlanksAs val="gap"/>
    <c:showDLblsOverMax val="1"/>
  </c:chart>
  <c:spPr>
    <a:solidFill>
      <a:srgbClr val="FFFFFF"/>
    </a:solidFill>
    <a:ln w="0">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sz="1200" b="1" u="none" strike="noStrike">
                <a:uFillTx/>
                <a:latin typeface="Arial"/>
              </a:defRPr>
            </a:pPr>
            <a:r>
              <a:rPr lang="en-IN" sz="1200" b="1" u="none" strike="noStrike">
                <a:uFillTx/>
                <a:latin typeface="Arial"/>
              </a:rPr>
              <a:t>Workforce Diversity &amp; Turnover</a:t>
            </a:r>
          </a:p>
        </c:rich>
      </c:tx>
      <c:overlay val="0"/>
      <c:spPr>
        <a:noFill/>
        <a:ln w="0">
          <a:noFill/>
        </a:ln>
      </c:spPr>
    </c:title>
    <c:autoTitleDeleted val="0"/>
    <c:plotArea>
      <c:layout/>
      <c:lineChart>
        <c:grouping val="standard"/>
        <c:varyColors val="0"/>
        <c:ser>
          <c:idx val="0"/>
          <c:order val="0"/>
          <c:tx>
            <c:strRef>
              <c:f>label 0</c:f>
              <c:strCache>
                <c:ptCount val="1"/>
                <c:pt idx="0">
                  <c:v>Female Workforce %</c:v>
                </c:pt>
              </c:strCache>
            </c:strRef>
          </c:tx>
          <c:spPr>
            <a:ln w="28800">
              <a:solidFill>
                <a:srgbClr val="004586"/>
              </a:solidFill>
              <a:round/>
            </a:ln>
          </c:spPr>
          <c:marker>
            <c:symbol val="square"/>
            <c:size val="8"/>
            <c:spPr>
              <a:solidFill>
                <a:srgbClr val="004586"/>
              </a:solidFill>
            </c:spPr>
          </c:marker>
          <c:dLbls>
            <c:spPr>
              <a:noFill/>
              <a:ln>
                <a:noFill/>
              </a:ln>
              <a:effectLst/>
            </c:spPr>
            <c:txPr>
              <a:bodyPr wrap="none"/>
              <a:lstStyle/>
              <a:p>
                <a:pPr>
                  <a:defRPr sz="1000" b="0" u="none" strike="noStrike">
                    <a:uFillTx/>
                    <a:latin typeface="Arial"/>
                  </a:defRPr>
                </a:pPr>
                <a:endParaRPr lang="en-US"/>
              </a:p>
            </c:txPr>
            <c:showLegendKey val="0"/>
            <c:showVal val="1"/>
            <c:showCatName val="0"/>
            <c:showSerName val="0"/>
            <c:showPercent val="0"/>
            <c:showBubbleSize val="1"/>
            <c:separator> </c:separator>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28800">
                      <a:solidFill>
                        <a:srgbClr val="000000"/>
                      </a:solidFill>
                    </a:ln>
                  </c:spPr>
                </c15:leaderLines>
              </c:ext>
            </c:extLst>
          </c:dLbls>
          <c:cat>
            <c:strRef>
              <c:f>categories</c:f>
              <c:strCache>
                <c:ptCount val="5"/>
                <c:pt idx="0">
                  <c:v>2021</c:v>
                </c:pt>
                <c:pt idx="1">
                  <c:v>2022</c:v>
                </c:pt>
                <c:pt idx="2">
                  <c:v>2023</c:v>
                </c:pt>
                <c:pt idx="3">
                  <c:v>2024</c:v>
                </c:pt>
                <c:pt idx="4">
                  <c:v>2025</c:v>
                </c:pt>
              </c:strCache>
            </c:strRef>
          </c:cat>
          <c:val>
            <c:numRef>
              <c:f>0</c:f>
              <c:numCache>
                <c:formatCode>General</c:formatCode>
                <c:ptCount val="5"/>
                <c:pt idx="0">
                  <c:v>27</c:v>
                </c:pt>
                <c:pt idx="1">
                  <c:v>28.7</c:v>
                </c:pt>
                <c:pt idx="2">
                  <c:v>31.1</c:v>
                </c:pt>
                <c:pt idx="3">
                  <c:v>32.799999999999997</c:v>
                </c:pt>
                <c:pt idx="4">
                  <c:v>34.6</c:v>
                </c:pt>
              </c:numCache>
            </c:numRef>
          </c:val>
          <c:smooth val="0"/>
          <c:extLst>
            <c:ext xmlns:c16="http://schemas.microsoft.com/office/drawing/2014/chart" uri="{C3380CC4-5D6E-409C-BE32-E72D297353CC}">
              <c16:uniqueId val="{00000000-C854-4935-A487-E7E0B03EE761}"/>
            </c:ext>
          </c:extLst>
        </c:ser>
        <c:ser>
          <c:idx val="1"/>
          <c:order val="1"/>
          <c:tx>
            <c:strRef>
              <c:f>label 1</c:f>
              <c:strCache>
                <c:ptCount val="1"/>
                <c:pt idx="0">
                  <c:v>Employee Turnover %</c:v>
                </c:pt>
              </c:strCache>
            </c:strRef>
          </c:tx>
          <c:spPr>
            <a:ln w="28800">
              <a:solidFill>
                <a:srgbClr val="FF420E"/>
              </a:solidFill>
              <a:round/>
            </a:ln>
          </c:spPr>
          <c:marker>
            <c:symbol val="diamond"/>
            <c:size val="8"/>
            <c:spPr>
              <a:solidFill>
                <a:srgbClr val="FF420E"/>
              </a:solidFill>
            </c:spPr>
          </c:marker>
          <c:dLbls>
            <c:spPr>
              <a:noFill/>
              <a:ln>
                <a:noFill/>
              </a:ln>
              <a:effectLst/>
            </c:spPr>
            <c:txPr>
              <a:bodyPr wrap="none"/>
              <a:lstStyle/>
              <a:p>
                <a:pPr>
                  <a:defRPr sz="1000" b="0" u="none" strike="noStrike">
                    <a:uFillTx/>
                    <a:latin typeface="Arial"/>
                  </a:defRPr>
                </a:pPr>
                <a:endParaRPr lang="en-US"/>
              </a:p>
            </c:txPr>
            <c:showLegendKey val="0"/>
            <c:showVal val="1"/>
            <c:showCatName val="0"/>
            <c:showSerName val="0"/>
            <c:showPercent val="0"/>
            <c:showBubbleSize val="1"/>
            <c:separator> </c:separator>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28800">
                      <a:solidFill>
                        <a:srgbClr val="000000"/>
                      </a:solidFill>
                    </a:ln>
                  </c:spPr>
                </c15:leaderLines>
              </c:ext>
            </c:extLst>
          </c:dLbls>
          <c:cat>
            <c:strRef>
              <c:f>categories</c:f>
              <c:strCache>
                <c:ptCount val="5"/>
                <c:pt idx="0">
                  <c:v>2021</c:v>
                </c:pt>
                <c:pt idx="1">
                  <c:v>2022</c:v>
                </c:pt>
                <c:pt idx="2">
                  <c:v>2023</c:v>
                </c:pt>
                <c:pt idx="3">
                  <c:v>2024</c:v>
                </c:pt>
                <c:pt idx="4">
                  <c:v>2025</c:v>
                </c:pt>
              </c:strCache>
            </c:strRef>
          </c:cat>
          <c:val>
            <c:numRef>
              <c:f>1</c:f>
              <c:numCache>
                <c:formatCode>General</c:formatCode>
                <c:ptCount val="5"/>
                <c:pt idx="0">
                  <c:v>12.5</c:v>
                </c:pt>
                <c:pt idx="1">
                  <c:v>11.6</c:v>
                </c:pt>
                <c:pt idx="2">
                  <c:v>10.9</c:v>
                </c:pt>
                <c:pt idx="3">
                  <c:v>10.199999999999999</c:v>
                </c:pt>
                <c:pt idx="4">
                  <c:v>9.4</c:v>
                </c:pt>
              </c:numCache>
            </c:numRef>
          </c:val>
          <c:smooth val="0"/>
          <c:extLst>
            <c:ext xmlns:c16="http://schemas.microsoft.com/office/drawing/2014/chart" uri="{C3380CC4-5D6E-409C-BE32-E72D297353CC}">
              <c16:uniqueId val="{00000001-C854-4935-A487-E7E0B03EE761}"/>
            </c:ext>
          </c:extLst>
        </c:ser>
        <c:dLbls>
          <c:showLegendKey val="0"/>
          <c:showVal val="0"/>
          <c:showCatName val="0"/>
          <c:showSerName val="0"/>
          <c:showPercent val="0"/>
          <c:showBubbleSize val="0"/>
        </c:dLbls>
        <c:hiLowLines>
          <c:spPr>
            <a:ln w="0">
              <a:noFill/>
            </a:ln>
          </c:spPr>
        </c:hiLowLines>
        <c:marker val="1"/>
        <c:smooth val="0"/>
        <c:axId val="91413967"/>
        <c:axId val="13263408"/>
      </c:lineChart>
      <c:catAx>
        <c:axId val="91413967"/>
        <c:scaling>
          <c:orientation val="minMax"/>
        </c:scaling>
        <c:delete val="0"/>
        <c:axPos val="b"/>
        <c:numFmt formatCode="General" sourceLinked="1"/>
        <c:majorTickMark val="out"/>
        <c:minorTickMark val="none"/>
        <c:tickLblPos val="nextTo"/>
        <c:spPr>
          <a:ln w="0">
            <a:solidFill>
              <a:srgbClr val="B3B3B3"/>
            </a:solidFill>
          </a:ln>
        </c:spPr>
        <c:txPr>
          <a:bodyPr/>
          <a:lstStyle/>
          <a:p>
            <a:pPr>
              <a:defRPr sz="1000" b="0" u="none" strike="noStrike">
                <a:uFillTx/>
                <a:latin typeface="Arial"/>
              </a:defRPr>
            </a:pPr>
            <a:endParaRPr lang="en-US"/>
          </a:p>
        </c:txPr>
        <c:crossAx val="13263408"/>
        <c:crosses val="autoZero"/>
        <c:auto val="1"/>
        <c:lblAlgn val="ctr"/>
        <c:lblOffset val="100"/>
        <c:noMultiLvlLbl val="0"/>
      </c:catAx>
      <c:valAx>
        <c:axId val="13263408"/>
        <c:scaling>
          <c:orientation val="minMax"/>
        </c:scaling>
        <c:delete val="0"/>
        <c:axPos val="l"/>
        <c:majorGridlines>
          <c:spPr>
            <a:ln w="0">
              <a:solidFill>
                <a:srgbClr val="B3B3B3"/>
              </a:solidFill>
            </a:ln>
          </c:spPr>
        </c:majorGridlines>
        <c:numFmt formatCode="General" sourceLinked="1"/>
        <c:majorTickMark val="out"/>
        <c:minorTickMark val="none"/>
        <c:tickLblPos val="nextTo"/>
        <c:spPr>
          <a:ln w="0">
            <a:solidFill>
              <a:srgbClr val="B3B3B3"/>
            </a:solidFill>
          </a:ln>
        </c:spPr>
        <c:txPr>
          <a:bodyPr/>
          <a:lstStyle/>
          <a:p>
            <a:pPr>
              <a:defRPr sz="1000" b="0" u="none" strike="noStrike">
                <a:uFillTx/>
                <a:latin typeface="Arial"/>
              </a:defRPr>
            </a:pPr>
            <a:endParaRPr lang="en-US"/>
          </a:p>
        </c:txPr>
        <c:crossAx val="91413967"/>
        <c:crosses val="autoZero"/>
        <c:crossBetween val="midCat"/>
      </c:valAx>
      <c:spPr>
        <a:solidFill>
          <a:srgbClr val="D9D9D9"/>
        </a:solidFill>
        <a:ln w="0">
          <a:noFill/>
        </a:ln>
      </c:spPr>
    </c:plotArea>
    <c:legend>
      <c:legendPos val="b"/>
      <c:overlay val="0"/>
      <c:spPr>
        <a:solidFill>
          <a:srgbClr val="D9D9D9"/>
        </a:solidFill>
        <a:ln w="0">
          <a:solidFill>
            <a:srgbClr val="000000"/>
          </a:solidFill>
        </a:ln>
      </c:spPr>
      <c:txPr>
        <a:bodyPr/>
        <a:lstStyle/>
        <a:p>
          <a:pPr>
            <a:defRPr sz="800" b="0" u="none" strike="noStrike">
              <a:uFillTx/>
              <a:latin typeface="Arial"/>
            </a:defRPr>
          </a:pPr>
          <a:endParaRPr lang="en-US"/>
        </a:p>
      </c:txPr>
    </c:legend>
    <c:plotVisOnly val="0"/>
    <c:dispBlanksAs val="gap"/>
    <c:showDLblsOverMax val="1"/>
  </c:chart>
  <c:spPr>
    <a:solidFill>
      <a:srgbClr val="FFFFFF"/>
    </a:solidFill>
    <a:ln w="0">
      <a:noFill/>
    </a:ln>
  </c:spPr>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title>
      <c:tx>
        <c:rich>
          <a:bodyPr rot="0"/>
          <a:lstStyle/>
          <a:p>
            <a:pPr>
              <a:defRPr sz="1200" b="1" u="none" strike="noStrike">
                <a:uFillTx/>
                <a:latin typeface="Arial"/>
              </a:defRPr>
            </a:pPr>
            <a:r>
              <a:rPr lang="en-IN" sz="1200" b="1" u="none" strike="noStrike">
                <a:uFillTx/>
                <a:latin typeface="Arial"/>
              </a:rPr>
              <a:t>Governance Performance</a:t>
            </a:r>
          </a:p>
        </c:rich>
      </c:tx>
      <c:overlay val="0"/>
      <c:spPr>
        <a:noFill/>
        <a:ln w="0">
          <a:noFill/>
        </a:ln>
      </c:spPr>
    </c:title>
    <c:autoTitleDeleted val="0"/>
    <c:plotArea>
      <c:layout/>
      <c:lineChart>
        <c:grouping val="standard"/>
        <c:varyColors val="0"/>
        <c:ser>
          <c:idx val="0"/>
          <c:order val="0"/>
          <c:tx>
            <c:strRef>
              <c:f>label 0</c:f>
              <c:strCache>
                <c:ptCount val="1"/>
                <c:pt idx="0">
                  <c:v>Ethics Training Completion %</c:v>
                </c:pt>
              </c:strCache>
            </c:strRef>
          </c:tx>
          <c:spPr>
            <a:ln w="28800">
              <a:solidFill>
                <a:srgbClr val="004586"/>
              </a:solidFill>
              <a:round/>
            </a:ln>
          </c:spPr>
          <c:marker>
            <c:symbol val="square"/>
            <c:size val="8"/>
            <c:spPr>
              <a:solidFill>
                <a:srgbClr val="004586"/>
              </a:solidFill>
            </c:spPr>
          </c:marker>
          <c:dLbls>
            <c:spPr>
              <a:noFill/>
              <a:ln>
                <a:noFill/>
              </a:ln>
              <a:effectLst/>
            </c:spPr>
            <c:txPr>
              <a:bodyPr wrap="none"/>
              <a:lstStyle/>
              <a:p>
                <a:pPr>
                  <a:defRPr sz="1000" b="0" u="none" strike="noStrike">
                    <a:uFillTx/>
                    <a:latin typeface="Arial"/>
                  </a:defRPr>
                </a:pPr>
                <a:endParaRPr lang="en-US"/>
              </a:p>
            </c:txPr>
            <c:showLegendKey val="0"/>
            <c:showVal val="1"/>
            <c:showCatName val="0"/>
            <c:showSerName val="0"/>
            <c:showPercent val="0"/>
            <c:showBubbleSize val="1"/>
            <c:separator> </c:separator>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28800">
                      <a:solidFill>
                        <a:srgbClr val="000000"/>
                      </a:solidFill>
                    </a:ln>
                  </c:spPr>
                </c15:leaderLines>
              </c:ext>
            </c:extLst>
          </c:dLbls>
          <c:cat>
            <c:strRef>
              <c:f>categories</c:f>
              <c:strCache>
                <c:ptCount val="5"/>
                <c:pt idx="0">
                  <c:v>2021</c:v>
                </c:pt>
                <c:pt idx="1">
                  <c:v>2022</c:v>
                </c:pt>
                <c:pt idx="2">
                  <c:v>2023</c:v>
                </c:pt>
                <c:pt idx="3">
                  <c:v>2024</c:v>
                </c:pt>
                <c:pt idx="4">
                  <c:v>2025</c:v>
                </c:pt>
              </c:strCache>
            </c:strRef>
          </c:cat>
          <c:val>
            <c:numRef>
              <c:f>0</c:f>
              <c:numCache>
                <c:formatCode>General</c:formatCode>
                <c:ptCount val="5"/>
                <c:pt idx="0">
                  <c:v>90.9</c:v>
                </c:pt>
                <c:pt idx="1">
                  <c:v>92.6</c:v>
                </c:pt>
                <c:pt idx="2">
                  <c:v>93.8</c:v>
                </c:pt>
                <c:pt idx="3">
                  <c:v>95.5</c:v>
                </c:pt>
                <c:pt idx="4">
                  <c:v>97.3</c:v>
                </c:pt>
              </c:numCache>
            </c:numRef>
          </c:val>
          <c:smooth val="0"/>
          <c:extLst>
            <c:ext xmlns:c16="http://schemas.microsoft.com/office/drawing/2014/chart" uri="{C3380CC4-5D6E-409C-BE32-E72D297353CC}">
              <c16:uniqueId val="{00000000-B315-4A71-A46E-3539BD9C426B}"/>
            </c:ext>
          </c:extLst>
        </c:ser>
        <c:ser>
          <c:idx val="1"/>
          <c:order val="1"/>
          <c:tx>
            <c:strRef>
              <c:f>label 1</c:f>
              <c:strCache>
                <c:ptCount val="1"/>
                <c:pt idx="0">
                  <c:v>Independent Directors %</c:v>
                </c:pt>
              </c:strCache>
            </c:strRef>
          </c:tx>
          <c:spPr>
            <a:ln w="28800">
              <a:solidFill>
                <a:srgbClr val="FF420E"/>
              </a:solidFill>
              <a:round/>
            </a:ln>
          </c:spPr>
          <c:marker>
            <c:symbol val="diamond"/>
            <c:size val="8"/>
            <c:spPr>
              <a:solidFill>
                <a:srgbClr val="FF420E"/>
              </a:solidFill>
            </c:spPr>
          </c:marker>
          <c:dLbls>
            <c:spPr>
              <a:noFill/>
              <a:ln>
                <a:noFill/>
              </a:ln>
              <a:effectLst/>
            </c:spPr>
            <c:txPr>
              <a:bodyPr wrap="none"/>
              <a:lstStyle/>
              <a:p>
                <a:pPr>
                  <a:defRPr sz="1000" b="0" u="none" strike="noStrike">
                    <a:uFillTx/>
                    <a:latin typeface="Arial"/>
                  </a:defRPr>
                </a:pPr>
                <a:endParaRPr lang="en-US"/>
              </a:p>
            </c:txPr>
            <c:showLegendKey val="0"/>
            <c:showVal val="1"/>
            <c:showCatName val="0"/>
            <c:showSerName val="0"/>
            <c:showPercent val="0"/>
            <c:showBubbleSize val="1"/>
            <c:separator> </c:separator>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28800">
                      <a:solidFill>
                        <a:srgbClr val="000000"/>
                      </a:solidFill>
                    </a:ln>
                  </c:spPr>
                </c15:leaderLines>
              </c:ext>
            </c:extLst>
          </c:dLbls>
          <c:cat>
            <c:strRef>
              <c:f>categories</c:f>
              <c:strCache>
                <c:ptCount val="5"/>
                <c:pt idx="0">
                  <c:v>2021</c:v>
                </c:pt>
                <c:pt idx="1">
                  <c:v>2022</c:v>
                </c:pt>
                <c:pt idx="2">
                  <c:v>2023</c:v>
                </c:pt>
                <c:pt idx="3">
                  <c:v>2024</c:v>
                </c:pt>
                <c:pt idx="4">
                  <c:v>2025</c:v>
                </c:pt>
              </c:strCache>
            </c:strRef>
          </c:cat>
          <c:val>
            <c:numRef>
              <c:f>1</c:f>
              <c:numCache>
                <c:formatCode>General</c:formatCode>
                <c:ptCount val="5"/>
                <c:pt idx="0">
                  <c:v>50.2</c:v>
                </c:pt>
                <c:pt idx="1">
                  <c:v>52.8</c:v>
                </c:pt>
                <c:pt idx="2">
                  <c:v>55.8</c:v>
                </c:pt>
                <c:pt idx="3">
                  <c:v>59.2</c:v>
                </c:pt>
                <c:pt idx="4">
                  <c:v>62.1</c:v>
                </c:pt>
              </c:numCache>
            </c:numRef>
          </c:val>
          <c:smooth val="0"/>
          <c:extLst>
            <c:ext xmlns:c16="http://schemas.microsoft.com/office/drawing/2014/chart" uri="{C3380CC4-5D6E-409C-BE32-E72D297353CC}">
              <c16:uniqueId val="{00000001-B315-4A71-A46E-3539BD9C426B}"/>
            </c:ext>
          </c:extLst>
        </c:ser>
        <c:dLbls>
          <c:showLegendKey val="0"/>
          <c:showVal val="0"/>
          <c:showCatName val="0"/>
          <c:showSerName val="0"/>
          <c:showPercent val="0"/>
          <c:showBubbleSize val="0"/>
        </c:dLbls>
        <c:hiLowLines>
          <c:spPr>
            <a:ln w="0">
              <a:noFill/>
            </a:ln>
          </c:spPr>
        </c:hiLowLines>
        <c:marker val="1"/>
        <c:smooth val="0"/>
        <c:axId val="40176572"/>
        <c:axId val="68549907"/>
      </c:lineChart>
      <c:catAx>
        <c:axId val="40176572"/>
        <c:scaling>
          <c:orientation val="minMax"/>
        </c:scaling>
        <c:delete val="0"/>
        <c:axPos val="b"/>
        <c:numFmt formatCode="General" sourceLinked="1"/>
        <c:majorTickMark val="out"/>
        <c:minorTickMark val="none"/>
        <c:tickLblPos val="nextTo"/>
        <c:spPr>
          <a:ln w="0">
            <a:solidFill>
              <a:srgbClr val="B3B3B3"/>
            </a:solidFill>
          </a:ln>
        </c:spPr>
        <c:txPr>
          <a:bodyPr/>
          <a:lstStyle/>
          <a:p>
            <a:pPr>
              <a:defRPr sz="1000" b="0" u="none" strike="noStrike">
                <a:uFillTx/>
                <a:latin typeface="Arial"/>
              </a:defRPr>
            </a:pPr>
            <a:endParaRPr lang="en-US"/>
          </a:p>
        </c:txPr>
        <c:crossAx val="68549907"/>
        <c:crosses val="autoZero"/>
        <c:auto val="1"/>
        <c:lblAlgn val="ctr"/>
        <c:lblOffset val="100"/>
        <c:noMultiLvlLbl val="0"/>
      </c:catAx>
      <c:valAx>
        <c:axId val="68549907"/>
        <c:scaling>
          <c:orientation val="minMax"/>
        </c:scaling>
        <c:delete val="0"/>
        <c:axPos val="l"/>
        <c:majorGridlines>
          <c:spPr>
            <a:ln w="0">
              <a:solidFill>
                <a:srgbClr val="B3B3B3"/>
              </a:solidFill>
            </a:ln>
          </c:spPr>
        </c:majorGridlines>
        <c:numFmt formatCode="General" sourceLinked="1"/>
        <c:majorTickMark val="out"/>
        <c:minorTickMark val="none"/>
        <c:tickLblPos val="nextTo"/>
        <c:spPr>
          <a:ln w="0">
            <a:solidFill>
              <a:srgbClr val="B3B3B3"/>
            </a:solidFill>
          </a:ln>
        </c:spPr>
        <c:txPr>
          <a:bodyPr/>
          <a:lstStyle/>
          <a:p>
            <a:pPr>
              <a:defRPr sz="1000" b="0" u="none" strike="noStrike">
                <a:uFillTx/>
                <a:latin typeface="Arial"/>
              </a:defRPr>
            </a:pPr>
            <a:endParaRPr lang="en-US"/>
          </a:p>
        </c:txPr>
        <c:crossAx val="40176572"/>
        <c:crosses val="autoZero"/>
        <c:crossBetween val="midCat"/>
      </c:valAx>
      <c:spPr>
        <a:solidFill>
          <a:srgbClr val="D9D9D9"/>
        </a:solidFill>
        <a:ln w="0">
          <a:noFill/>
        </a:ln>
      </c:spPr>
    </c:plotArea>
    <c:legend>
      <c:legendPos val="b"/>
      <c:overlay val="0"/>
      <c:spPr>
        <a:solidFill>
          <a:srgbClr val="D9D9D9"/>
        </a:solidFill>
        <a:ln w="0">
          <a:solidFill>
            <a:srgbClr val="000000"/>
          </a:solidFill>
        </a:ln>
      </c:spPr>
      <c:txPr>
        <a:bodyPr/>
        <a:lstStyle/>
        <a:p>
          <a:pPr>
            <a:defRPr sz="800" b="0" u="none" strike="noStrike">
              <a:uFillTx/>
              <a:latin typeface="Arial"/>
            </a:defRPr>
          </a:pPr>
          <a:endParaRPr lang="en-US"/>
        </a:p>
      </c:txPr>
    </c:legend>
    <c:plotVisOnly val="0"/>
    <c:dispBlanksAs val="gap"/>
    <c:showDLblsOverMax val="1"/>
  </c:chart>
  <c:spPr>
    <a:solidFill>
      <a:srgbClr val="FFFFFF"/>
    </a:solidFill>
    <a:ln w="0">
      <a:noFill/>
    </a:ln>
  </c:spPr>
</c:chartSpace>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8</Pages>
  <Words>1247</Words>
  <Characters>7109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Mayur Khadse</cp:lastModifiedBy>
  <cp:revision>6</cp:revision>
  <dcterms:created xsi:type="dcterms:W3CDTF">2026-09-09T05:10:00Z</dcterms:created>
  <dcterms:modified xsi:type="dcterms:W3CDTF">2026-09-09T05:23:00Z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2026-09-09T05:09:12Z</dcterms:created>
  <dc:creator/>
  <dc:description/>
  <dc:language>en-US</dc:language>
  <cp:lastModifiedBy/>
  <dcterms:modified xsi:type="dcterms:W3CDTF">2026-09-09T05:09:15Z</dcterms:modified>
  <cp:revision>1</cp:revision>
  <dc:subject/>
  <dc:title/>
</cp:coreProperties>
</file>