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NOVATORE SOLUTIONS</w:t>
      </w:r>
    </w:p>
    <w:p>
      <w:pPr>
        <w:spacing w:before="1100"/>
        <w:jc w:val="center"/>
      </w:pPr>
      <w:r>
        <w:rPr>
          <w:b/>
          <w:color w:val="17365D"/>
          <w:sz w:val="50"/>
        </w:rPr>
        <w:t>Domain-Trained Enterprise RAG: Train the Retriever, Reranker &amp; Generator</w:t>
      </w:r>
    </w:p>
    <w:p>
      <w:pPr>
        <w:jc w:val="center"/>
      </w:pPr>
      <w:r>
        <w:rPr>
          <w:color w:val="666666"/>
          <w:sz w:val="26"/>
        </w:rPr>
        <w:t>Owner: Mazhar Ali</w:t>
      </w:r>
    </w:p>
    <w:p>
      <w:pPr>
        <w:spacing w:before="640"/>
        <w:jc w:val="center"/>
      </w:pPr>
      <w:r>
        <w:rPr>
          <w:color w:val="666666"/>
          <w:sz w:val="22"/>
        </w:rPr>
        <w:t>Advanced 8-Week Capstone Brief</w:t>
      </w:r>
    </w:p>
    <w:p>
      <w:r>
        <w:br w:type="page"/>
      </w:r>
    </w:p>
    <w:p>
      <w:pPr>
        <w:pStyle w:val="Heading1"/>
      </w:pPr>
      <w:r>
        <w:t>1.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Mazhar Ali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Domain-Trained Enterprise RAG: Train the Retriever, Reranker &amp; Generator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Domain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Advanced RAG, Retrieval Fine-Tuning, Reranking, LLM Fine-Tuning &amp; RAG Security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 weeks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Working Style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Research + engineering capstone; a demo alone is not completion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Final Evaluation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Code freeze + hidden benchmark + technical viva</w:t>
            </w:r>
          </w:p>
        </w:tc>
      </w:tr>
    </w:tbl>
    <w:p/>
    <w:p>
      <w:r>
        <w:rPr>
          <w:b/>
        </w:rPr>
        <w:t xml:space="preserve">Project premise. </w:t>
      </w:r>
      <w:r>
        <w:t>Build a domain-specific enterprise knowledge system in which the retrieval stack and answer model are trained and evaluated rather than simply assembled. The capstone must compare base LLM, naive RAG, fine-tuned LLM, advanced RAG and a fully trained retriever-reranker-generator pipeline on a held-out benchmark.</w:t>
      </w:r>
    </w:p>
    <w:p>
      <w:r>
        <w:rPr>
          <w:b/>
        </w:rPr>
        <w:t xml:space="preserve">Primary research question. </w:t>
      </w:r>
      <w:r>
        <w:t>Where does domain fine-tuning create measurable value in an enterprise RAG stack: the retriever, the reranker, the generator, or their combination - and how robust is the resulting system to misleading, outdated and adversarial knowledge?</w:t>
      </w:r>
    </w:p>
    <w:p>
      <w:pPr>
        <w:pStyle w:val="Heading1"/>
      </w:pPr>
      <w:r>
        <w:t>2. Learning &amp; Engineering Objectives</w:t>
      </w:r>
    </w:p>
    <w:p>
      <w:pPr>
        <w:pStyle w:val="ListBullet"/>
        <w:spacing w:after="40"/>
      </w:pPr>
      <w:r>
        <w:t>Construct and version a substantial technical corpus rather than relying on a tiny demo collection.</w:t>
      </w:r>
    </w:p>
    <w:p>
      <w:pPr>
        <w:pStyle w:val="ListBullet"/>
        <w:spacing w:after="40"/>
      </w:pPr>
      <w:r>
        <w:t>Design an evaluation benchmark before tuning so improvements cannot be claimed from cherry-picked prompts.</w:t>
      </w:r>
    </w:p>
    <w:p>
      <w:pPr>
        <w:pStyle w:val="ListBullet"/>
        <w:spacing w:after="40"/>
      </w:pPr>
      <w:r>
        <w:t>Fine-tune a dense retriever using positives and iteratively mined hard negatives.</w:t>
      </w:r>
    </w:p>
    <w:p>
      <w:pPr>
        <w:pStyle w:val="ListBullet"/>
        <w:spacing w:after="40"/>
      </w:pPr>
      <w:r>
        <w:t>Fine-tune a domain reranker and quantify its incremental retrieval value.</w:t>
      </w:r>
    </w:p>
    <w:p>
      <w:pPr>
        <w:pStyle w:val="ListBullet"/>
        <w:spacing w:after="40"/>
      </w:pPr>
      <w:r>
        <w:t>Fine-tune an open LLM with QLoRA/SFT on domain QA plus refusal/citation examples.</w:t>
      </w:r>
    </w:p>
    <w:p>
      <w:pPr>
        <w:pStyle w:val="ListBullet"/>
        <w:spacing w:after="40"/>
      </w:pPr>
      <w:r>
        <w:t>Implement hybrid, multi-stage and decomposed retrieval with measurable justification.</w:t>
      </w:r>
    </w:p>
    <w:p>
      <w:pPr>
        <w:pStyle w:val="ListBullet"/>
        <w:spacing w:after="40"/>
      </w:pPr>
      <w:r>
        <w:t>Add citation verification and RAG-specific security controls against poisoned or instruction-bearing documents.</w:t>
      </w:r>
    </w:p>
    <w:p>
      <w:pPr>
        <w:pStyle w:val="ListBullet"/>
        <w:spacing w:after="40"/>
      </w:pPr>
      <w:r>
        <w:t>Operate within a fixed local inference memory/latency budget.</w:t>
      </w:r>
    </w:p>
    <w:p>
      <w:pPr>
        <w:pStyle w:val="Heading1"/>
      </w:pPr>
      <w:r>
        <w:t>3. Required System Scope</w:t>
      </w:r>
    </w:p>
    <w:p>
      <w:pPr>
        <w:pStyle w:val="Heading2"/>
      </w:pPr>
      <w:r>
        <w:t>A. Corpus &amp; benchmark</w:t>
      </w:r>
    </w:p>
    <w:p>
      <w:pPr>
        <w:pStyle w:val="ListBullet"/>
        <w:spacing w:after="40"/>
      </w:pPr>
      <w:r>
        <w:t>Create a DevOps/cloud/infra corpus spanning Linux, Nginx, Docker, Kubernetes, PostgreSQL, networking, TLS, systemd, cloud and CI/CD.</w:t>
      </w:r>
    </w:p>
    <w:p>
      <w:pPr>
        <w:pStyle w:val="ListBullet"/>
        <w:spacing w:after="40"/>
      </w:pPr>
      <w:r>
        <w:t>Target at least 10,000 meaningful sections/chunks after cleaning/deduplication.</w:t>
      </w:r>
    </w:p>
    <w:p>
      <w:pPr>
        <w:pStyle w:val="ListBullet"/>
        <w:spacing w:after="40"/>
      </w:pPr>
      <w:r>
        <w:t>Create &gt;=1,000 benchmark questions across direct, multi-hop, troubleshooting, cross-document, version-sensitive, ambiguous, unanswerable and distractor-heavy categories.</w:t>
      </w:r>
    </w:p>
    <w:p>
      <w:pPr>
        <w:pStyle w:val="ListBullet"/>
        <w:spacing w:after="40"/>
      </w:pPr>
      <w:r>
        <w:t>Keep a visible development split separate from mentor-held hidden questions.</w:t>
      </w:r>
    </w:p>
    <w:p>
      <w:pPr>
        <w:pStyle w:val="Heading2"/>
      </w:pPr>
      <w:r>
        <w:t>B. Retrieval baseline &amp; training</w:t>
      </w:r>
    </w:p>
    <w:p>
      <w:pPr>
        <w:pStyle w:val="ListBullet"/>
        <w:spacing w:after="40"/>
      </w:pPr>
      <w:r>
        <w:t>BM25, generic dense embeddings and hybrid baseline.</w:t>
      </w:r>
    </w:p>
    <w:p>
      <w:pPr>
        <w:pStyle w:val="ListBullet"/>
        <w:spacing w:after="40"/>
      </w:pPr>
      <w:r>
        <w:t>Create query-positive-hard-negative training triples.</w:t>
      </w:r>
    </w:p>
    <w:p>
      <w:pPr>
        <w:pStyle w:val="ListBullet"/>
        <w:spacing w:after="40"/>
      </w:pPr>
      <w:r>
        <w:t>Fine-tune a bi-encoder retriever.</w:t>
      </w:r>
    </w:p>
    <w:p>
      <w:pPr>
        <w:pStyle w:val="ListBullet"/>
        <w:spacing w:after="40"/>
      </w:pPr>
      <w:r>
        <w:t>Perform at least two hard-negative mining iterations and measure retrieval gains.</w:t>
      </w:r>
    </w:p>
    <w:p>
      <w:pPr>
        <w:pStyle w:val="Heading2"/>
      </w:pPr>
      <w:r>
        <w:t>C. Reranker</w:t>
      </w:r>
    </w:p>
    <w:p>
      <w:pPr>
        <w:pStyle w:val="ListBullet"/>
        <w:spacing w:after="40"/>
      </w:pPr>
      <w:r>
        <w:t>Train or domain-adapt a cross-encoder/reranker.</w:t>
      </w:r>
    </w:p>
    <w:p>
      <w:pPr>
        <w:pStyle w:val="ListBullet"/>
        <w:spacing w:after="40"/>
      </w:pPr>
      <w:r>
        <w:t>Compare generic versus domain reranking and top-k trade-offs.</w:t>
      </w:r>
    </w:p>
    <w:p>
      <w:pPr>
        <w:pStyle w:val="Heading2"/>
      </w:pPr>
      <w:r>
        <w:t>D. Generator fine-tuning</w:t>
      </w:r>
    </w:p>
    <w:p>
      <w:pPr>
        <w:pStyle w:val="ListBullet"/>
        <w:spacing w:after="40"/>
      </w:pPr>
      <w:r>
        <w:t>Build several thousand validated training examples with context, answer, citations, unsupported/refusal cases and multi-hop reasoning.</w:t>
      </w:r>
    </w:p>
    <w:p>
      <w:pPr>
        <w:pStyle w:val="ListBullet"/>
        <w:spacing w:after="40"/>
      </w:pPr>
      <w:r>
        <w:t>Perform QLoRA/SFT on a feasible open model.</w:t>
      </w:r>
    </w:p>
    <w:p>
      <w:pPr>
        <w:pStyle w:val="ListBullet"/>
        <w:spacing w:after="40"/>
      </w:pPr>
      <w:r>
        <w:t>Optional preference stage (DPO/ORPO or equivalent) if compute permits and only if it adds measurable value.</w:t>
      </w:r>
    </w:p>
    <w:p>
      <w:pPr>
        <w:pStyle w:val="Heading2"/>
      </w:pPr>
      <w:r>
        <w:t>E. Advanced RAG</w:t>
      </w:r>
    </w:p>
    <w:p>
      <w:pPr>
        <w:pStyle w:val="ListBullet"/>
        <w:spacing w:after="40"/>
      </w:pPr>
      <w:r>
        <w:t>Query rewrite/decomposition and multi-stage retrieval.</w:t>
      </w:r>
    </w:p>
    <w:p>
      <w:pPr>
        <w:pStyle w:val="ListBullet"/>
        <w:spacing w:after="40"/>
      </w:pPr>
      <w:r>
        <w:t>Context selection with token-budget awareness.</w:t>
      </w:r>
    </w:p>
    <w:p>
      <w:pPr>
        <w:pStyle w:val="ListBullet"/>
        <w:spacing w:after="40"/>
      </w:pPr>
      <w:r>
        <w:t>Claim-level citation support verifier with SUPPORTED/PARTIAL/UNSUPPORTED classification.</w:t>
      </w:r>
    </w:p>
    <w:p>
      <w:pPr>
        <w:pStyle w:val="ListBullet"/>
        <w:spacing w:after="40"/>
      </w:pPr>
      <w:r>
        <w:t>Fail-closed or regenerate behavior for unsupported claims.</w:t>
      </w:r>
    </w:p>
    <w:p>
      <w:pPr>
        <w:pStyle w:val="Heading2"/>
      </w:pPr>
      <w:r>
        <w:t>F. RAG security &amp; efficiency</w:t>
      </w:r>
    </w:p>
    <w:p>
      <w:pPr>
        <w:pStyle w:val="ListBullet"/>
        <w:spacing w:after="40"/>
      </w:pPr>
      <w:r>
        <w:t>Inject irrelevant, contradictory, outdated, near-duplicate and prompt-injection documents.</w:t>
      </w:r>
    </w:p>
    <w:p>
      <w:pPr>
        <w:pStyle w:val="ListBullet"/>
        <w:spacing w:after="40"/>
      </w:pPr>
      <w:r>
        <w:t>Implement source trust/instruction-data separation/filtering and measure resistance.</w:t>
      </w:r>
    </w:p>
    <w:p>
      <w:pPr>
        <w:pStyle w:val="ListBullet"/>
        <w:spacing w:after="40"/>
      </w:pPr>
      <w:r>
        <w:t>Meet an agreed memory budget and report p50/p95 latency, throughput and resource use.</w:t>
      </w:r>
    </w:p>
    <w:p>
      <w:pPr>
        <w:pStyle w:val="Heading1"/>
      </w:pPr>
      <w:r>
        <w:t>4. Mandatory Experimental Program</w:t>
      </w:r>
    </w:p>
    <w:p>
      <w:pPr>
        <w:pStyle w:val="ListBullet"/>
        <w:spacing w:after="40"/>
      </w:pPr>
      <w:r>
        <w:t>Mandatory six-system comparison: base LLM; base+naive RAG; fine-tuned LLM; advanced RAG; fine-tuned LLM+advanced RAG; fully trained retriever+reranker+generator.</w:t>
      </w:r>
    </w:p>
    <w:p>
      <w:pPr>
        <w:pStyle w:val="ListBullet"/>
        <w:spacing w:after="40"/>
      </w:pPr>
      <w:r>
        <w:t>Retrieval experiments must report Recall@K, MRR and nDCG by question type, not only overall averages.</w:t>
      </w:r>
    </w:p>
    <w:p>
      <w:pPr>
        <w:pStyle w:val="ListBullet"/>
        <w:spacing w:after="40"/>
      </w:pPr>
      <w:r>
        <w:t>Run hard-negative mining iterations and show which error classes improve or regress.</w:t>
      </w:r>
    </w:p>
    <w:p>
      <w:pPr>
        <w:pStyle w:val="ListBullet"/>
        <w:spacing w:after="40"/>
      </w:pPr>
      <w:r>
        <w:t>Evaluate hallucination/refusal/citation behavior on answerable and intentionally unanswerable queries.</w:t>
      </w:r>
    </w:p>
    <w:p>
      <w:pPr>
        <w:pStyle w:val="ListBullet"/>
        <w:spacing w:after="40"/>
      </w:pPr>
      <w:r>
        <w:t>Run an adversarial-corpus suite containing contradictory/outdated/instruction-bearing passages.</w:t>
      </w:r>
    </w:p>
    <w:p>
      <w:pPr>
        <w:pStyle w:val="ListBullet"/>
        <w:spacing w:after="40"/>
      </w:pPr>
      <w:r>
        <w:t>Perform ablations for retriever fine-tuning, reranker, generator fine-tuning, query decomposition and citation verifier.</w:t>
      </w:r>
    </w:p>
    <w:p>
      <w:pPr>
        <w:pStyle w:val="ListBullet"/>
        <w:spacing w:after="40"/>
      </w:pPr>
      <w:r>
        <w:t>Use a frozen visible benchmark for formal comparisons; prompt-by-prompt hand tuning is not allowed.</w:t>
      </w:r>
    </w:p>
    <w:p>
      <w:r>
        <w:rPr>
          <w:b/>
          <w:color w:val="A61C00"/>
        </w:rPr>
        <w:t xml:space="preserve">Important: </w:t>
      </w:r>
      <w:r>
        <w:t>The project is not considered complete when the first model works. The first working version should appear early and then be challenged, measured, improved and re-tested.</w:t>
      </w:r>
    </w:p>
    <w:p>
      <w:pPr>
        <w:pStyle w:val="Heading1"/>
      </w:pPr>
      <w:r>
        <w:t>5. Evaluation Metrics</w:t>
      </w:r>
    </w:p>
    <w:p>
      <w:pPr>
        <w:pStyle w:val="ListBullet"/>
        <w:spacing w:after="40"/>
      </w:pPr>
      <w:r>
        <w:t>Recall@1/5/10</w:t>
      </w:r>
    </w:p>
    <w:p>
      <w:pPr>
        <w:pStyle w:val="ListBullet"/>
        <w:spacing w:after="40"/>
      </w:pPr>
      <w:r>
        <w:t>MRR and nDCG</w:t>
      </w:r>
    </w:p>
    <w:p>
      <w:pPr>
        <w:pStyle w:val="ListBullet"/>
        <w:spacing w:after="40"/>
      </w:pPr>
      <w:r>
        <w:t>Answer correctness</w:t>
      </w:r>
    </w:p>
    <w:p>
      <w:pPr>
        <w:pStyle w:val="ListBullet"/>
        <w:spacing w:after="40"/>
      </w:pPr>
      <w:r>
        <w:t>Faithfulness/groundedness</w:t>
      </w:r>
    </w:p>
    <w:p>
      <w:pPr>
        <w:pStyle w:val="ListBullet"/>
        <w:spacing w:after="40"/>
      </w:pPr>
      <w:r>
        <w:t>Citation precision/support rate</w:t>
      </w:r>
    </w:p>
    <w:p>
      <w:pPr>
        <w:pStyle w:val="ListBullet"/>
        <w:spacing w:after="40"/>
      </w:pPr>
      <w:r>
        <w:t>Unanswerable-query refusal precision/recall</w:t>
      </w:r>
    </w:p>
    <w:p>
      <w:pPr>
        <w:pStyle w:val="ListBullet"/>
        <w:spacing w:after="40"/>
      </w:pPr>
      <w:r>
        <w:t>Hallucination rate</w:t>
      </w:r>
    </w:p>
    <w:p>
      <w:pPr>
        <w:pStyle w:val="ListBullet"/>
        <w:spacing w:after="40"/>
      </w:pPr>
      <w:r>
        <w:t>Prompt-injection/poisoned-document attack success</w:t>
      </w:r>
    </w:p>
    <w:p>
      <w:pPr>
        <w:pStyle w:val="ListBullet"/>
        <w:spacing w:after="40"/>
      </w:pPr>
      <w:r>
        <w:t>p50/p95 retrieval and end-to-end latency</w:t>
      </w:r>
    </w:p>
    <w:p>
      <w:pPr>
        <w:pStyle w:val="ListBullet"/>
        <w:spacing w:after="40"/>
      </w:pPr>
      <w:r>
        <w:t>VRAM/RAM footprint and tokens/sec</w:t>
      </w:r>
    </w:p>
    <w:p>
      <w:pPr>
        <w:pStyle w:val="ListBullet"/>
        <w:spacing w:after="40"/>
      </w:pPr>
      <w:r>
        <w:t>Performance by query category</w:t>
      </w:r>
    </w:p>
    <w:p>
      <w:pPr>
        <w:pStyle w:val="ListBullet"/>
        <w:spacing w:after="40"/>
      </w:pPr>
      <w:r>
        <w:t>Delta contributed by retriever/reranker/generator fine-tuning</w:t>
      </w:r>
    </w:p>
    <w:p>
      <w:pPr>
        <w:pStyle w:val="Heading1"/>
      </w:pPr>
      <w:r>
        <w:t>6. Deliverables</w:t>
      </w:r>
    </w:p>
    <w:p>
      <w:pPr>
        <w:pStyle w:val="ListNumber"/>
        <w:spacing w:after="40"/>
      </w:pPr>
      <w:r>
        <w:t>Versioned corpus ingestion and cleaning pipeline.</w:t>
      </w:r>
    </w:p>
    <w:p>
      <w:pPr>
        <w:pStyle w:val="ListNumber"/>
        <w:spacing w:after="40"/>
      </w:pPr>
      <w:r>
        <w:t>&gt;=1,000-question evaluation set with category labels and a mentor-separated hidden subset.</w:t>
      </w:r>
    </w:p>
    <w:p>
      <w:pPr>
        <w:pStyle w:val="ListNumber"/>
        <w:spacing w:after="40"/>
      </w:pPr>
      <w:r>
        <w:t>Fine-tuned retriever plus hard-negative mining pipeline.</w:t>
      </w:r>
    </w:p>
    <w:p>
      <w:pPr>
        <w:pStyle w:val="ListNumber"/>
        <w:spacing w:after="40"/>
      </w:pPr>
      <w:r>
        <w:t>Fine-tuned/domain-adapted reranker.</w:t>
      </w:r>
    </w:p>
    <w:p>
      <w:pPr>
        <w:pStyle w:val="ListNumber"/>
        <w:spacing w:after="40"/>
      </w:pPr>
      <w:r>
        <w:t>QLoRA/SFT domain model and reproducible training configuration.</w:t>
      </w:r>
    </w:p>
    <w:p>
      <w:pPr>
        <w:pStyle w:val="ListNumber"/>
        <w:spacing w:after="40"/>
      </w:pPr>
      <w:r>
        <w:t>Advanced RAG service with citation verification, refusal logic and security filtering.</w:t>
      </w:r>
    </w:p>
    <w:p>
      <w:pPr>
        <w:pStyle w:val="ListNumber"/>
        <w:spacing w:after="40"/>
      </w:pPr>
      <w:r>
        <w:t>Evaluation dashboard comparing all mandatory system variants.</w:t>
      </w:r>
    </w:p>
    <w:p>
      <w:pPr>
        <w:pStyle w:val="ListNumber"/>
        <w:spacing w:after="40"/>
      </w:pPr>
      <w:r>
        <w:t>Containerized/local inference package within agreed resource budget.</w:t>
      </w:r>
    </w:p>
    <w:p>
      <w:pPr>
        <w:pStyle w:val="ListNumber"/>
        <w:spacing w:after="40"/>
      </w:pPr>
      <w:r>
        <w:t>15-20 page technical report with component-level ablations and error taxonomy.</w:t>
      </w:r>
    </w:p>
    <w:p>
      <w:pPr>
        <w:pStyle w:val="ListNumber"/>
        <w:spacing w:after="40"/>
      </w:pPr>
      <w:r>
        <w:t>Final demo and technical viva.</w:t>
      </w:r>
    </w:p>
    <w:p>
      <w:pPr>
        <w:pStyle w:val="Heading1"/>
      </w:pPr>
      <w:r>
        <w:t>7. Eight-Week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Primary Goal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Mandatory Evidence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Gate to Pass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Research, problem formalization and benchmark design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Literature notes; architecture; dataset/eval protocol; hypotheses; risk register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Mentor approves scope and evaluation before core implementation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Data pipeline and strong baselines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Reproducible preprocessing; &gt;=3 baselines; initial evaluation harness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Baselines reproduce from clean environment and metrics are credible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3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Retriever/reranker training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Corpus benchmark frozen; bi-encoder training + hard-negative mining V1; reranker baseline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Trained retriever beats generic dense baseline on visible benchmark without leakage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Generator fine-tuning + advanced RAG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QLoRA/SFT; query decomposition; citation verifier; hard-negative mining V2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Full pipeline runs locally and component ablations are measurable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Failure discovery and stress testing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Structured stress matrix; adversarial/shift/noise/failure runs; documented failure taxonomy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At least 10 meaningful failures identified and reproduced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V2 redesign and measurable improvement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Changes motivated by Week 5 evidence; ablations; before/after results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V2 improves agreed failure metrics without unacceptable regression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7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Productionization and mentor pre-challenge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API/service; reproducible deployment; monitoring; dry-run on mentor-provided unseen dev challenge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System runs end-to-end with one-command evaluation and survives pre-challenge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8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Code freeze, hidden benchmark and defense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Frozen commit; hidden benchmark results; final report; demo; viva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Pass hidden benchmark and defend technical decisions</w:t>
            </w:r>
          </w:p>
        </w:tc>
      </w:tr>
    </w:tbl>
    <w:p>
      <w:pPr>
        <w:pStyle w:val="Heading1"/>
      </w:pPr>
      <w:r>
        <w:t>8.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5597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2F5597"/>
          </w:tcPr>
          <w:p>
            <w:r>
              <w:rPr>
                <w:b/>
                <w:color w:val="FFFFFF"/>
              </w:rPr>
              <w:t>Minimum Acceptance Standard</w:t>
            </w:r>
          </w:p>
        </w:tc>
        <w:tc>
          <w:tcPr>
            <w:tcW w:type="dxa" w:w="3408"/>
            <w:shd w:fill="2F5597"/>
          </w:tcPr>
          <w:p>
            <w:r>
              <w:rPr>
                <w:b/>
                <w:color w:val="FFFFFF"/>
              </w:rPr>
              <w:t>Evidence Required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Corpus &amp; benchmark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&gt;=10k cleaned sections and &gt;=1k categorized questions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Versioned corpus + benchmark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Retriever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Fine-tuned bi-encoder + &gt;=2 hard-negative mining cycles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Retrieval metric gains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Reranker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Domain reranker compared with generic baseline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nDCG/MRR delta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Generator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QLoRA/SFT model with refusal/citation training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Held-out answer metrics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RAG security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Poison/outdated/prompt-injection resistance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Adversarial suite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Hidden challenge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Performs on unseen questions + hostile document injection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Frozen private benchmark score</w:t>
            </w:r>
          </w:p>
        </w:tc>
      </w:tr>
    </w:tbl>
    <w:p>
      <w:pPr>
        <w:pStyle w:val="Heading1"/>
      </w:pPr>
      <w:r>
        <w:t>9. Reproducibility &amp; Engineering Standards</w:t>
      </w:r>
    </w:p>
    <w:p>
      <w:pPr>
        <w:pStyle w:val="ListBullet"/>
        <w:spacing w:after="40"/>
      </w:pPr>
      <w:r>
        <w:t>All experiments must be reproducible from a fresh clone using documented commands and configuration files.</w:t>
      </w:r>
    </w:p>
    <w:p>
      <w:pPr>
        <w:pStyle w:val="ListBullet"/>
        <w:spacing w:after="40"/>
      </w:pPr>
      <w:r>
        <w:t>Use fixed seeds where applicable and record dataset/model versions, hyperparameters, metrics and runtime for every formal experiment.</w:t>
      </w:r>
    </w:p>
    <w:p>
      <w:pPr>
        <w:pStyle w:val="ListBullet"/>
        <w:spacing w:after="40"/>
      </w:pPr>
      <w:r>
        <w:t>Training, evaluation and serving must be separated into scripts/modules; notebooks may be used for exploration but are not the final runtime.</w:t>
      </w:r>
    </w:p>
    <w:p>
      <w:pPr>
        <w:pStyle w:val="ListBullet"/>
        <w:spacing w:after="40"/>
      </w:pPr>
      <w:r>
        <w:t>The final system must expose a repeatable evaluation command that produces machine-readable results (JSON/CSV) in addition to human-readable charts.</w:t>
      </w:r>
    </w:p>
    <w:p>
      <w:pPr>
        <w:pStyle w:val="ListBullet"/>
        <w:spacing w:after="40"/>
      </w:pPr>
      <w:r>
        <w:t>Use version control throughout the project. Major experimental changes should be visible in commit history.</w:t>
      </w:r>
    </w:p>
    <w:p>
      <w:pPr>
        <w:pStyle w:val="ListBullet"/>
        <w:spacing w:after="40"/>
      </w:pPr>
      <w:r>
        <w:t>At least one containerized or otherwise reproducible deployment path is required.</w:t>
      </w:r>
    </w:p>
    <w:p>
      <w:pPr>
        <w:pStyle w:val="ListBullet"/>
        <w:spacing w:after="40"/>
      </w:pPr>
      <w:r>
        <w:t>Document all known limitations and cases where the system should not be trusted.</w:t>
      </w:r>
    </w:p>
    <w:p>
      <w:pPr>
        <w:pStyle w:val="Heading1"/>
      </w:pPr>
      <w:r>
        <w:t>10. Use of AI Coding Assistants</w:t>
      </w:r>
    </w:p>
    <w:p>
      <w:r>
        <w:t>AI tools are permitted and expected. They may accelerate coding, debugging, literature discovery, test generation and documentation. They do not replace experimental ownership or technical understanding.</w:t>
      </w:r>
    </w:p>
    <w:p>
      <w:pPr>
        <w:pStyle w:val="ListBullet"/>
        <w:spacing w:after="40"/>
      </w:pPr>
      <w:r>
        <w:t>Maintain an AI-use log for significant generated code or design decisions: what was requested, what was accepted, what was changed, and why.</w:t>
      </w:r>
    </w:p>
    <w:p>
      <w:pPr>
        <w:pStyle w:val="ListBullet"/>
        <w:spacing w:after="40"/>
      </w:pPr>
      <w:r>
        <w:t>You must be able to explain and modify any code you submit during the viva without relying on an AI assistant.</w:t>
      </w:r>
    </w:p>
    <w:p>
      <w:pPr>
        <w:pStyle w:val="ListBullet"/>
        <w:spacing w:after="40"/>
      </w:pPr>
      <w:r>
        <w:t>Generated metrics, claims, citations and experiment conclusions must be verified against actual runs.</w:t>
      </w:r>
    </w:p>
    <w:p>
      <w:pPr>
        <w:pStyle w:val="ListBullet"/>
        <w:spacing w:after="40"/>
      </w:pPr>
      <w:r>
        <w:t>Using an existing repository is allowed only when clearly attributed and materially extended; a wrapper around an existing project does not satisfy the brief.</w:t>
      </w:r>
    </w:p>
    <w:p>
      <w:pPr>
        <w:pStyle w:val="ListBullet"/>
        <w:spacing w:after="40"/>
      </w:pPr>
      <w:r>
        <w:t>The hidden benchmark is designed to test generalization. Optimizing only for the visible development set will not pass.</w:t>
      </w:r>
    </w:p>
    <w:p>
      <w:pPr>
        <w:pStyle w:val="Heading1"/>
      </w:pPr>
      <w:r>
        <w:t>11. Final Review &amp; Hidden Evaluation</w:t>
      </w:r>
    </w:p>
    <w:p>
      <w:r>
        <w:t>After code freeze, the mentor will inject a private set of unseen questions and hostile knowledge-base documents, including misleading, contradictory, outdated and instruction-bearing content. The system is scored on retrieval, answer support, refusal behavior and attack resistance.</w:t>
      </w:r>
    </w:p>
    <w:p>
      <w:pPr>
        <w:pStyle w:val="ListBullet"/>
        <w:spacing w:after="40"/>
      </w:pPr>
      <w:r>
        <w:t>Code is frozen before the hidden challenge is revealed.</w:t>
      </w:r>
    </w:p>
    <w:p>
      <w:pPr>
        <w:pStyle w:val="ListBullet"/>
        <w:spacing w:after="40"/>
      </w:pPr>
      <w:r>
        <w:t>The mentor may provide new inputs, distributions, attacks, failures or operating constraints not present in the public development set.</w:t>
      </w:r>
    </w:p>
    <w:p>
      <w:pPr>
        <w:pStyle w:val="ListBullet"/>
        <w:spacing w:after="40"/>
      </w:pPr>
      <w:r>
        <w:t>The hidden challenge is scored on measurable system behavior, not presentation quality.</w:t>
      </w:r>
    </w:p>
    <w:p>
      <w:pPr>
        <w:pStyle w:val="ListBullet"/>
        <w:spacing w:after="40"/>
      </w:pPr>
      <w:r>
        <w:t>Only fixes explicitly allowed by the mentor after reveal may be made; default policy is no retraining or code changes after the final benchmark starts.</w:t>
      </w:r>
    </w:p>
    <w:p>
      <w:pPr>
        <w:pStyle w:val="ListBullet"/>
        <w:spacing w:after="40"/>
      </w:pPr>
      <w:r>
        <w:t>A short technical defense follows the benchmark and may include live code modification or explanation of unexpected failures.</w:t>
      </w:r>
    </w:p>
    <w:p>
      <w:pPr>
        <w:pStyle w:val="Heading1"/>
      </w:pPr>
      <w:r>
        <w:t>12. Grading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5112"/>
          </w:tcPr>
          <w:p>
            <w:r>
              <w:t>Problem understanding &amp; research design</w:t>
            </w:r>
          </w:p>
        </w:tc>
        <w:tc>
          <w:tcPr>
            <w:tcW w:type="dxa" w:w="5112"/>
          </w:tcPr>
          <w:p>
            <w:r>
              <w:t>10%</w:t>
            </w:r>
          </w:p>
        </w:tc>
      </w:tr>
      <w:tr>
        <w:tc>
          <w:tcPr>
            <w:tcW w:type="dxa" w:w="5112"/>
          </w:tcPr>
          <w:p>
            <w:r>
              <w:t>Data/evaluation engineering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Baselines &amp; comparative methods</w:t>
            </w:r>
          </w:p>
        </w:tc>
        <w:tc>
          <w:tcPr>
            <w:tcW w:type="dxa" w:w="5112"/>
          </w:tcPr>
          <w:p>
            <w:r>
              <w:t>10%</w:t>
            </w:r>
          </w:p>
        </w:tc>
      </w:tr>
      <w:tr>
        <w:tc>
          <w:tcPr>
            <w:tcW w:type="dxa" w:w="5112"/>
          </w:tcPr>
          <w:p>
            <w:r>
              <w:t>Advanced implementation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Experimental quality &amp; ablations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Robustness/failure analysis</w:t>
            </w:r>
          </w:p>
        </w:tc>
        <w:tc>
          <w:tcPr>
            <w:tcW w:type="dxa" w:w="5112"/>
          </w:tcPr>
          <w:p>
            <w:r>
              <w:t>10%</w:t>
            </w:r>
          </w:p>
        </w:tc>
      </w:tr>
      <w:tr>
        <w:tc>
          <w:tcPr>
            <w:tcW w:type="dxa" w:w="5112"/>
          </w:tcPr>
          <w:p>
            <w:r>
              <w:t>Hidden benchmark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Production/reproducibility</w:t>
            </w:r>
          </w:p>
        </w:tc>
        <w:tc>
          <w:tcPr>
            <w:tcW w:type="dxa" w:w="5112"/>
          </w:tcPr>
          <w:p>
            <w:r>
              <w:t>5%</w:t>
            </w:r>
          </w:p>
        </w:tc>
      </w:tr>
      <w:tr>
        <w:tc>
          <w:tcPr>
            <w:tcW w:type="dxa" w:w="5112"/>
          </w:tcPr>
          <w:p>
            <w:r>
              <w:t>Technical report &amp; viva</w:t>
            </w:r>
          </w:p>
        </w:tc>
        <w:tc>
          <w:tcPr>
            <w:tcW w:type="dxa" w:w="5112"/>
          </w:tcPr>
          <w:p>
            <w:r>
              <w:t>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Internal internship material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NOVATORE SOLUTIONS  |  AI/ML INTERNSHIP  |  ROUND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20"/>
    </w:pPr>
    <w:rPr>
      <w:rFonts w:ascii="Aptos" w:hAnsi="Aptos"/>
      <w:b/>
      <w:color w:val="2F559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