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 w:ascii="Calibri" w:hAnsi="Calibri"/>
          <w:b/>
          <w:color w:val="0F172A"/>
          <w:sz w:val="44"/>
        </w:rPr>
        <w:t>Enterprise RAG Studio: Production-Grade Workplace Knowledge Intelligence</w:t>
      </w:r>
    </w:p>
    <w:p>
      <w:pPr>
        <w:spacing w:before="280" w:after="120"/>
      </w:pPr>
      <w:r>
        <w:rPr>
          <w:rFonts w:ascii="Calibri" w:hAnsi="Calibri"/>
          <w:b/>
          <w:color w:val="1E293B"/>
          <w:sz w:val="30"/>
        </w:rPr>
        <w:t>1. Executive Summary &amp; Vision</w:t>
      </w:r>
    </w:p>
    <w:p>
      <w:pPr>
        <w:spacing w:after="120" w:line="276" w:lineRule="auto"/>
      </w:pPr>
      <w:r>
        <w:rPr>
          <w:rFonts w:ascii="Calibri" w:hAnsi="Calibri"/>
          <w:color w:val="334155"/>
          <w:sz w:val="21"/>
        </w:rPr>
        <w:t>Modern enterprises operate on vast, fragmented, and fast-moving knowledge bases spread across collaboration tools, issue trackers, email threads, and internal engineering specifications. Off-the-shelf Large Language Models (LLMs) and naive RAG architectures suffer from critical vulnerabilities when deployed in these real-world enterprise environments:</w:t>
      </w:r>
    </w:p>
    <w:p>
      <w:pPr>
        <w:pStyle w:val="ListBullet"/>
        <w:spacing w:after="60"/>
      </w:pPr>
      <w:r>
        <w:rPr>
          <w:rFonts w:ascii="Calibri" w:hAnsi="Calibri"/>
          <w:color w:val="334155"/>
          <w:sz w:val="20"/>
        </w:rPr>
        <w:t>Hallucinations &amp; Ungrounded Claims: Generating plausible-sounding answers with no factual basis.</w:t>
      </w:r>
    </w:p>
    <w:p>
      <w:pPr>
        <w:pStyle w:val="ListBullet"/>
        <w:spacing w:after="60"/>
      </w:pPr>
      <w:r>
        <w:rPr>
          <w:rFonts w:ascii="Calibri" w:hAnsi="Calibri"/>
          <w:color w:val="334155"/>
          <w:sz w:val="20"/>
        </w:rPr>
        <w:t>Instruction Hijacking &amp; Prompt Injections: Executing malicious instructions hidden inside user prompts or retrieved internal documents.</w:t>
      </w:r>
    </w:p>
    <w:p>
      <w:pPr>
        <w:pStyle w:val="ListBullet"/>
        <w:spacing w:after="60"/>
      </w:pPr>
      <w:r>
        <w:rPr>
          <w:rFonts w:ascii="Calibri" w:hAnsi="Calibri"/>
          <w:color w:val="334155"/>
          <w:sz w:val="20"/>
        </w:rPr>
        <w:t>Temporal &amp; Policy Contradictions: Blending deprecated policies with current standards, producing dangerous or outdated advice.</w:t>
      </w:r>
    </w:p>
    <w:p>
      <w:pPr>
        <w:pStyle w:val="ListBullet"/>
        <w:spacing w:after="60"/>
      </w:pPr>
      <w:r>
        <w:rPr>
          <w:rFonts w:ascii="Calibri" w:hAnsi="Calibri"/>
          <w:color w:val="334155"/>
          <w:sz w:val="20"/>
        </w:rPr>
        <w:t>Unanswerable Questions: Failing to admit a lack of knowledge, inventing information instead of gracefully refusing.</w:t>
      </w:r>
    </w:p>
    <w:p>
      <w:pPr>
        <w:spacing w:after="120" w:line="276" w:lineRule="auto"/>
      </w:pPr>
      <w:r>
        <w:rPr>
          <w:rFonts w:ascii="Calibri" w:hAnsi="Calibri"/>
          <w:color w:val="334155"/>
          <w:sz w:val="21"/>
        </w:rPr>
        <w:t>The Enterprise RAG Studio is a resilient, enterprise-grade AI intelligence system engineered to eliminate these failure modes. Built on an 8-stage runtime defense architecture, the system incorporates three specialized fine-tuned models (Embedding, Reranker, and Generator), automated claim-level verification, continuous self-learning, and strict security guardrails.</w:t>
      </w:r>
    </w:p>
    <w:p>
      <w:pPr>
        <w:spacing w:before="280" w:after="120"/>
      </w:pPr>
      <w:r>
        <w:rPr>
          <w:rFonts w:ascii="Calibri" w:hAnsi="Calibri"/>
          <w:b/>
          <w:color w:val="1E293B"/>
          <w:sz w:val="30"/>
        </w:rPr>
        <w:t>2. Dataset Evolution: From Public DevOps to Enterprise Workplace Knowledge</w:t>
      </w:r>
    </w:p>
    <w:p>
      <w:pPr>
        <w:spacing w:after="120" w:line="276" w:lineRule="auto"/>
      </w:pPr>
      <w:r>
        <w:rPr>
          <w:rFonts w:ascii="Calibri" w:hAnsi="Calibri"/>
          <w:color w:val="334155"/>
          <w:sz w:val="21"/>
        </w:rPr>
        <w:t>A critical milestone in the evolution of this project was the transition from generic public documentation to a complex, multi-tenant enterprise workplace corpus.</w:t>
      </w:r>
    </w:p>
    <w:p>
      <w:pPr>
        <w:spacing w:before="200" w:after="80"/>
      </w:pPr>
      <w:r>
        <w:rPr>
          <w:rFonts w:ascii="Calibri" w:hAnsi="Calibri"/>
          <w:b/>
          <w:color w:val="334155"/>
          <w:sz w:val="24"/>
        </w:rPr>
        <w:t>Initial Phase: Generic Public DevOps Documentation</w:t>
      </w:r>
    </w:p>
    <w:p>
      <w:pPr>
        <w:spacing w:after="120" w:line="276" w:lineRule="auto"/>
      </w:pPr>
      <w:r>
        <w:rPr>
          <w:rFonts w:ascii="Calibri" w:hAnsi="Calibri"/>
          <w:color w:val="334155"/>
          <w:sz w:val="21"/>
        </w:rPr>
        <w:t>In the foundational phase of development, the system utilized a standard technical documentation corpus composed of public developer docs (Docker, Kubernetes, PostgreSQL, Nginx, Helm, Prometheus, Linux man pages, FastAPI). While authoritative and cleanly structured, it did not reflect the conversational, contradictory, and fragmented reality of enterprise collaboration.</w:t>
      </w:r>
    </w:p>
    <w:p>
      <w:pPr>
        <w:spacing w:before="200" w:after="80"/>
      </w:pPr>
      <w:r>
        <w:rPr>
          <w:rFonts w:ascii="Calibri" w:hAnsi="Calibri"/>
          <w:b/>
          <w:color w:val="334155"/>
          <w:sz w:val="24"/>
        </w:rPr>
        <w:t>Current Production Phase: Enterprise Workplace Knowledge Corpus</w:t>
      </w:r>
    </w:p>
    <w:p>
      <w:pPr>
        <w:spacing w:after="120" w:line="276" w:lineRule="auto"/>
      </w:pPr>
      <w:r>
        <w:rPr>
          <w:rFonts w:ascii="Calibri" w:hAnsi="Calibri"/>
          <w:color w:val="334155"/>
          <w:sz w:val="21"/>
        </w:rPr>
        <w:t>The production system operates over an authentic multi-channel enterprise corpus exceeding 113,000 indexed chunks covering Slack, Jira, Confluence, Gmail, Google Drive, Linear, GitHub, and HubSpot. It explicitly accounts for cross-source policy contradictions, prompt injection payloads, and workplace jargon.</w:t>
      </w:r>
    </w:p>
    <w:p>
      <w:pPr>
        <w:spacing w:before="280" w:after="120"/>
      </w:pPr>
      <w:r>
        <w:rPr>
          <w:rFonts w:ascii="Calibri" w:hAnsi="Calibri"/>
          <w:b/>
          <w:color w:val="1E293B"/>
          <w:sz w:val="30"/>
        </w:rPr>
        <w:t>3. System Architecture Overview</w:t>
      </w:r>
    </w:p>
    <w:p>
      <w:pPr>
        <w:spacing w:after="120" w:line="276" w:lineRule="auto"/>
      </w:pPr>
      <w:r>
        <w:rPr>
          <w:rFonts w:ascii="Calibri" w:hAnsi="Calibri"/>
          <w:color w:val="334155"/>
          <w:sz w:val="21"/>
        </w:rPr>
        <w:t>The system decouples data ingestion, hybrid retrieval, neural reranking, generation, and post-generation auditing into distinct, defended tiers: Adversarial Security Gate -&gt; Citation Experience Prior -&gt; HyDE Expansion -&gt; Hybrid FAISS+BM25 -&gt; Neural Cross-Encoder Reranking -&gt; Context Sanitization -&gt; Grounded Generation -&gt; NLI Claim Verification.</w:t>
      </w:r>
    </w:p>
    <w:p>
      <w:pPr>
        <w:spacing w:before="280" w:after="120"/>
      </w:pPr>
      <w:r>
        <w:rPr>
          <w:rFonts w:ascii="Calibri" w:hAnsi="Calibri"/>
          <w:b/>
          <w:color w:val="1E293B"/>
          <w:sz w:val="30"/>
        </w:rPr>
        <w:t>4. Multi-Phase Model Progression</w:t>
      </w:r>
    </w:p>
    <w:p>
      <w:pPr>
        <w:spacing w:after="120" w:line="276" w:lineRule="auto"/>
      </w:pPr>
      <w:r>
        <w:rPr>
          <w:rFonts w:ascii="Calibri" w:hAnsi="Calibri"/>
          <w:color w:val="334155"/>
          <w:sz w:val="21"/>
        </w:rPr>
        <w:t>Rather than treating the RAG system as a static wrapper around a commercial API, the architecture evolved across four disciplined phases:</w:t>
      </w:r>
    </w:p>
    <w:p>
      <w:pPr>
        <w:pStyle w:val="ListBullet"/>
        <w:spacing w:after="60"/>
      </w:pPr>
      <w:r>
        <w:rPr>
          <w:rFonts w:ascii="Calibri" w:hAnsi="Calibri"/>
          <w:color w:val="334155"/>
          <w:sz w:val="20"/>
        </w:rPr>
        <w:t>Phase 1 (Naive Baseline): Standard single-vector dense retriever with off-the-shelf foundation model using naive concatenation prompts.</w:t>
      </w:r>
    </w:p>
    <w:p>
      <w:pPr>
        <w:pStyle w:val="ListBullet"/>
        <w:spacing w:after="60"/>
      </w:pPr>
      <w:r>
        <w:rPr>
          <w:rFonts w:ascii="Calibri" w:hAnsi="Calibri"/>
          <w:color w:val="334155"/>
          <w:sz w:val="20"/>
        </w:rPr>
        <w:t>Phase 2 (Neural Cross-Encoder Re-Ranking): BGE-Reranker-Large fine-tuned with LoRA on hard negative pairs and enterprise technical queries to eliminate distractor chunks.</w:t>
      </w:r>
    </w:p>
    <w:p>
      <w:pPr>
        <w:pStyle w:val="ListBullet"/>
        <w:spacing w:after="60"/>
      </w:pPr>
      <w:r>
        <w:rPr>
          <w:rFonts w:ascii="Calibri" w:hAnsi="Calibri"/>
          <w:color w:val="334155"/>
          <w:sz w:val="20"/>
        </w:rPr>
        <w:t>Phase 3 (Domain-Trained Dense Embedding): BGE-Large-EN-v1.5 (1024-d) domain-adapted via LoRA using contrastive triplet loss to align enterprise workplace acronyms and terminology.</w:t>
      </w:r>
    </w:p>
    <w:p>
      <w:pPr>
        <w:pStyle w:val="ListBullet"/>
        <w:spacing w:after="60"/>
      </w:pPr>
      <w:r>
        <w:rPr>
          <w:rFonts w:ascii="Calibri" w:hAnsi="Calibri"/>
          <w:color w:val="334155"/>
          <w:sz w:val="20"/>
        </w:rPr>
        <w:t>Phase 4 (Domain Generator &amp; Guardrail Hardening): Primary Architecture uses openai/gpt-oss-20b accelerated via Groq Cloud LPUs for sub-1.5s latency, with an offline local fallback to fine-tuned Qwen2.5-3B (Ollama CPU-optimized). Refuses to extrapolate beyond evidence and deterministically cites source passages.</w:t>
      </w:r>
    </w:p>
    <w:p>
      <w:pPr>
        <w:spacing w:before="280" w:after="120"/>
      </w:pPr>
      <w:r>
        <w:rPr>
          <w:rFonts w:ascii="Calibri" w:hAnsi="Calibri"/>
          <w:b/>
          <w:color w:val="1E293B"/>
          <w:sz w:val="30"/>
        </w:rPr>
        <w:t>5. The Defended 8-Stage Runtime Pipeline</w:t>
      </w:r>
    </w:p>
    <w:p>
      <w:pPr>
        <w:spacing w:after="120" w:line="276" w:lineRule="auto"/>
      </w:pPr>
      <w:r>
        <w:rPr>
          <w:rFonts w:ascii="Calibri" w:hAnsi="Calibri"/>
          <w:color w:val="334155"/>
          <w:sz w:val="21"/>
        </w:rPr>
        <w:t>Every user query traverses 8 defensive stages:</w:t>
      </w:r>
    </w:p>
    <w:p>
      <w:pPr>
        <w:pStyle w:val="ListBullet"/>
        <w:spacing w:after="60"/>
      </w:pPr>
      <w:r>
        <w:rPr>
          <w:rFonts w:ascii="Calibri" w:hAnsi="Calibri"/>
          <w:color w:val="334155"/>
          <w:sz w:val="20"/>
        </w:rPr>
        <w:t>Stage 1: Adversarial Security Gate — Pre-retrieval prompt injection and SQL injection interceptor.</w:t>
      </w:r>
    </w:p>
    <w:p>
      <w:pPr>
        <w:pStyle w:val="ListBullet"/>
        <w:spacing w:after="60"/>
      </w:pPr>
      <w:r>
        <w:rPr>
          <w:rFonts w:ascii="Calibri" w:hAnsi="Calibri"/>
          <w:color w:val="334155"/>
          <w:sz w:val="20"/>
        </w:rPr>
        <w:t>Stage 2: Self-Learning History Prior — Evaluates queries against a dynamic Citation Experience Graph using 4 mathematical gates.</w:t>
      </w:r>
    </w:p>
    <w:p>
      <w:pPr>
        <w:pStyle w:val="ListBullet"/>
        <w:spacing w:after="60"/>
      </w:pPr>
      <w:r>
        <w:rPr>
          <w:rFonts w:ascii="Calibri" w:hAnsi="Calibri"/>
          <w:color w:val="334155"/>
          <w:sz w:val="20"/>
        </w:rPr>
        <w:t>Stage 3: Query Transformation &amp; Expansion — Generates HyDE perspectives and acronym resolutions.</w:t>
      </w:r>
    </w:p>
    <w:p>
      <w:pPr>
        <w:pStyle w:val="ListBullet"/>
        <w:spacing w:after="60"/>
      </w:pPr>
      <w:r>
        <w:rPr>
          <w:rFonts w:ascii="Calibri" w:hAnsi="Calibri"/>
          <w:color w:val="334155"/>
          <w:sz w:val="20"/>
        </w:rPr>
        <w:t>Stage 4: Hybrid Dual Retrieval — FAISS dense vector search combined with exact BM25 lexical search.</w:t>
      </w:r>
    </w:p>
    <w:p>
      <w:pPr>
        <w:pStyle w:val="ListBullet"/>
        <w:spacing w:after="60"/>
      </w:pPr>
      <w:r>
        <w:rPr>
          <w:rFonts w:ascii="Calibri" w:hAnsi="Calibri"/>
          <w:color w:val="334155"/>
          <w:sz w:val="20"/>
        </w:rPr>
        <w:t>Stage 5: Reciprocal Rank Fusion &amp; Neural Re-Ranking — Top-50 candidates pruned with fine-tuned Cross-Encoder.</w:t>
      </w:r>
    </w:p>
    <w:p>
      <w:pPr>
        <w:pStyle w:val="ListBullet"/>
        <w:spacing w:after="60"/>
      </w:pPr>
      <w:r>
        <w:rPr>
          <w:rFonts w:ascii="Calibri" w:hAnsi="Calibri"/>
          <w:color w:val="334155"/>
          <w:sz w:val="20"/>
        </w:rPr>
        <w:t>Stage 6: Context Sanitization &amp; Conflict Resolution — Resolves date contradictions and enforces temporal freshness.</w:t>
      </w:r>
    </w:p>
    <w:p>
      <w:pPr>
        <w:pStyle w:val="ListBullet"/>
        <w:spacing w:after="60"/>
      </w:pPr>
      <w:r>
        <w:rPr>
          <w:rFonts w:ascii="Calibri" w:hAnsi="Calibri"/>
          <w:color w:val="334155"/>
          <w:sz w:val="20"/>
        </w:rPr>
        <w:t>Stage 7: Production LPU Grounded Generation — Constrained generation using openai/gpt-oss-20b with citation anchoring.</w:t>
      </w:r>
    </w:p>
    <w:p>
      <w:pPr>
        <w:pStyle w:val="ListBullet"/>
        <w:spacing w:after="60"/>
      </w:pPr>
      <w:r>
        <w:rPr>
          <w:rFonts w:ascii="Calibri" w:hAnsi="Calibri"/>
          <w:color w:val="334155"/>
          <w:sz w:val="20"/>
        </w:rPr>
        <w:t>Stage 8: Post-Generation NLI Claim Verification — Atomic proposition decomposition with NLI entailment scoring.</w:t>
      </w:r>
    </w:p>
    <w:p>
      <w:pPr>
        <w:spacing w:before="280" w:after="120"/>
      </w:pPr>
      <w:r>
        <w:rPr>
          <w:rFonts w:ascii="Calibri" w:hAnsi="Calibri"/>
          <w:b/>
          <w:color w:val="1E293B"/>
          <w:sz w:val="30"/>
        </w:rPr>
        <w:t>6. Interactive Studio &amp; Playground Interface</w:t>
      </w:r>
    </w:p>
    <w:p>
      <w:pPr>
        <w:spacing w:after="120" w:line="276" w:lineRule="auto"/>
      </w:pPr>
      <w:r>
        <w:rPr>
          <w:rFonts w:ascii="Calibri" w:hAnsi="Calibri"/>
          <w:color w:val="334155"/>
          <w:sz w:val="21"/>
        </w:rPr>
        <w:t>The browser-based engineering workspace provides live sub-second telemetry (retrieval vs generation latency), interactive citation badges, an inspector drawer for retrieved context, and an automated evaluation matrix.</w:t>
      </w:r>
    </w:p>
    <w:p>
      <w:pPr>
        <w:spacing w:before="280" w:after="120"/>
      </w:pPr>
      <w:r>
        <w:rPr>
          <w:rFonts w:ascii="Calibri" w:hAnsi="Calibri"/>
          <w:b/>
          <w:color w:val="1E293B"/>
          <w:sz w:val="30"/>
        </w:rPr>
        <w:t>7. Continual Learning &amp; Incremental Ingestion Architecture</w:t>
      </w:r>
    </w:p>
    <w:p>
      <w:pPr>
        <w:spacing w:after="120" w:line="276" w:lineRule="auto"/>
      </w:pPr>
      <w:r>
        <w:rPr>
          <w:rFonts w:ascii="Calibri" w:hAnsi="Calibri"/>
          <w:color w:val="334155"/>
          <w:sz w:val="21"/>
        </w:rPr>
        <w:t>Implements a three-tier continual learning framework without system downtime: Tier A (Non-Parametric Live Ingestion with MinHash LSH and Hot FAISS injection), Tier B (Parametric Continual Fine-Tuning with 25% Experience Replay Anchors), and Tier C (Inference-Time Self-Learning History Experience Loop).</w:t>
      </w:r>
    </w:p>
    <w:p>
      <w:pPr>
        <w:spacing w:before="280" w:after="120"/>
      </w:pPr>
      <w:r>
        <w:rPr>
          <w:rFonts w:ascii="Calibri" w:hAnsi="Calibri"/>
          <w:b/>
          <w:color w:val="1E293B"/>
          <w:sz w:val="30"/>
        </w:rPr>
        <w:t>8. Evaluation Framework &amp; Benchmark Metrics</w:t>
      </w:r>
    </w:p>
    <w:p>
      <w:pPr>
        <w:spacing w:after="120" w:line="276" w:lineRule="auto"/>
      </w:pPr>
      <w:r>
        <w:rPr>
          <w:rFonts w:ascii="Calibri" w:hAnsi="Calibri"/>
          <w:color w:val="334155"/>
          <w:sz w:val="21"/>
        </w:rPr>
        <w:t>Validated objectively across key targets: Faithfulness &gt;= 0.90, Answer Relevance &gt;= 0.85, Context Recall@K &gt;= 0.92, NDCG@10 &gt;= 0.88, Injection Refusal Rate = 100%, and Mean Latency &lt; 2.5s.</w:t>
      </w:r>
    </w:p>
    <w:p>
      <w:pPr>
        <w:spacing w:before="280" w:after="120"/>
      </w:pPr>
      <w:r>
        <w:rPr>
          <w:rFonts w:ascii="Calibri" w:hAnsi="Calibri"/>
          <w:b/>
          <w:color w:val="1E293B"/>
          <w:sz w:val="30"/>
        </w:rPr>
        <w:t>9. How to Run the System</w:t>
      </w:r>
    </w:p>
    <w:p>
      <w:pPr>
        <w:spacing w:before="200" w:after="80"/>
      </w:pPr>
      <w:r>
        <w:rPr>
          <w:rFonts w:ascii="Calibri" w:hAnsi="Calibri"/>
          <w:b/>
          <w:color w:val="334155"/>
          <w:sz w:val="24"/>
        </w:rPr>
        <w:t>Environment Configuration (.env)</w:t>
      </w:r>
    </w:p>
    <w:p>
      <w:pPr>
        <w:spacing w:after="120"/>
      </w:pPr>
      <w:r>
        <w:rPr>
          <w:rFonts w:ascii="Consolas" w:hAnsi="Consolas"/>
          <w:color w:val="1E293B"/>
          <w:sz w:val="19"/>
        </w:rPr>
        <w:t>LLM_PROVIDER=groq</w:t>
        <w:br/>
        <w:t>GROQ_API_KEY=your_api_key_here</w:t>
        <w:br/>
        <w:t>GROQ_GENERATE_MODEL=openai/gpt-oss-20b</w:t>
        <w:br/>
        <w:t>GROQ_JUDGE_MODEL=openai/gpt-oss-20b</w:t>
        <w:br/>
        <w:t>OLLAMA_MODEL=qwen2.5:3b</w:t>
        <w:br/>
        <w:t>EMBEDDING_MODEL_NAME=BAAI/bge-large-en-v1.5</w:t>
        <w:br/>
        <w:t>RERANKER_MODEL_NAME=BAAI/bge-reranker-large</w:t>
        <w:br/>
        <w:t>PORT=8000</w:t>
        <w:br/>
        <w:t>HOST=127.0.0.1</w:t>
      </w:r>
    </w:p>
    <w:p>
      <w:pPr>
        <w:spacing w:before="200" w:after="80"/>
      </w:pPr>
      <w:r>
        <w:rPr>
          <w:rFonts w:ascii="Calibri" w:hAnsi="Calibri"/>
          <w:b/>
          <w:color w:val="334155"/>
          <w:sz w:val="24"/>
        </w:rPr>
        <w:t>Execution Commands</w:t>
      </w:r>
    </w:p>
    <w:p>
      <w:pPr>
        <w:spacing w:after="120"/>
      </w:pPr>
      <w:r>
        <w:rPr>
          <w:rFonts w:ascii="Consolas" w:hAnsi="Consolas"/>
          <w:color w:val="1E293B"/>
          <w:sz w:val="19"/>
        </w:rPr>
        <w:t>python verify_imports.py</w:t>
        <w:br/>
        <w:t>python scripts/start_ui.py</w:t>
        <w:br/>
        <w:t>python scripts/run_evaluation.py --pipeline advanced --output results/evaluation_report.json</w:t>
        <w:br/>
        <w:t>python scripts/ingest_document.py --file path/to/document.md</w:t>
      </w:r>
    </w:p>
    <w:p>
      <w:pPr>
        <w:spacing w:before="280" w:after="120"/>
      </w:pPr>
      <w:r>
        <w:rPr>
          <w:rFonts w:ascii="Calibri" w:hAnsi="Calibri"/>
          <w:b/>
          <w:color w:val="1E293B"/>
          <w:sz w:val="30"/>
        </w:rPr>
        <w:t>10. Defense Against Adversarial Stress Tests</w:t>
      </w:r>
    </w:p>
    <w:p>
      <w:pPr>
        <w:spacing w:after="120" w:line="276" w:lineRule="auto"/>
      </w:pPr>
      <w:r>
        <w:rPr>
          <w:rFonts w:ascii="Calibri" w:hAnsi="Calibri"/>
          <w:color w:val="334155"/>
          <w:sz w:val="21"/>
        </w:rPr>
        <w:t>Proven robust against indirect prompt injection (safe deterministic refusal), multi-topic synthesis with conflicting temporal data (clear isolation and version attribution), and unanswerable out-of-domain queries (clean admissions of insufficient evidence).</w:t>
      </w:r>
    </w:p>
    <w:p>
      <w:pPr>
        <w:spacing w:before="280" w:after="120"/>
      </w:pPr>
      <w:r>
        <w:rPr>
          <w:rFonts w:ascii="Calibri" w:hAnsi="Calibri"/>
          <w:b/>
          <w:color w:val="1E293B"/>
          <w:sz w:val="30"/>
        </w:rPr>
        <w:t>11. Conclusion</w:t>
      </w:r>
    </w:p>
    <w:p>
      <w:pPr>
        <w:spacing w:after="120" w:line="276" w:lineRule="auto"/>
      </w:pPr>
      <w:r>
        <w:rPr>
          <w:rFonts w:ascii="Calibri" w:hAnsi="Calibri"/>
          <w:color w:val="334155"/>
          <w:sz w:val="21"/>
        </w:rPr>
        <w:t>The Enterprise RAG Studio bridges the gap between proof-of-concept RAG implementations and secure, production-grade workplace intelligence, delivering sub-1.5s latency, verified zero-hallucination answers, and continuous index adaptation.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