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pPr>
      <w:r>
        <w:t xml:space="preserve">Legal IT Maturity Assessment</w:t>
      </w:r>
    </w:p>
    <w:p>
      <w:pPr>
        <w:spacing w:after="260"/>
      </w:pPr>
      <w:r>
        <w:rPr>
          <w:rFonts w:ascii="Aptos Display" w:cs="Aptos Display" w:eastAsia="Aptos Display" w:hAnsi="Aptos Display"/>
          <w:color w:val="A46A4C"/>
          <w:sz w:val="27"/>
          <w:szCs w:val="27"/>
        </w:rPr>
        <w:t xml:space="preserve">Methodology, structure and governance framework</w:t>
      </w:r>
    </w:p>
    <w:p>
      <w:pPr>
        <w:spacing w:after="120" w:line="276"/>
      </w:pPr>
      <w:r>
        <w:rPr>
          <w:rFonts w:ascii="Aptos" w:cs="Aptos" w:eastAsia="Aptos" w:hAnsi="Aptos"/>
          <w:color w:val="24302D"/>
          <w:sz w:val="21"/>
          <w:szCs w:val="21"/>
        </w:rPr>
        <w:t xml:space="preserve">Purpose: This document describes the assessment method, domain structure, scoring approach, evidence expectations, review process and governance controls used by the Legal IT Maturity Assessment. It is intended to support review, controlled use and future iteration of the assessment framework.</w:t>
      </w:r>
    </w:p>
    <w:tbl>
      <w:tblPr>
        <w:tblW w:type="pct" w:w="5000"/>
        <w:tblBorders>
          <w:top w:val="single" w:color="D8D3CA" w:sz="4"/>
          <w:left w:val="single" w:color="D8D3CA" w:sz="4"/>
          <w:bottom w:val="single" w:color="D8D3CA" w:sz="4"/>
          <w:right w:val="single" w:color="D8D3CA" w:sz="4"/>
          <w:insideH w:val="single" w:color="D8D3CA" w:sz="4"/>
          <w:insideV w:val="single" w:color="D8D3CA" w:sz="4"/>
        </w:tblBorders>
      </w:tblPr>
      <w:tblGrid>
        <w:gridCol w:w="4903"/>
        <w:gridCol w:w="4903"/>
      </w:tblGrid>
      <w:tr>
        <w:tc>
          <w:p>
            <w:pPr>
              <w:spacing w:after="40"/>
            </w:pPr>
            <w:r>
              <w:rPr>
                <w:rFonts w:ascii="Aptos" w:cs="Aptos" w:eastAsia="Aptos" w:hAnsi="Aptos"/>
                <w:b/>
                <w:bCs/>
                <w:color w:val="24302D"/>
                <w:sz w:val="18"/>
                <w:szCs w:val="18"/>
              </w:rPr>
              <w:t xml:space="preserve">Document status</w:t>
            </w:r>
          </w:p>
        </w:tc>
        <w:tc>
          <w:p>
            <w:pPr>
              <w:spacing w:after="40"/>
            </w:pPr>
            <w:r>
              <w:rPr>
                <w:rFonts w:ascii="Aptos" w:cs="Aptos" w:eastAsia="Aptos" w:hAnsi="Aptos"/>
                <w:b w:val="false"/>
                <w:bCs w:val="false"/>
                <w:color w:val="24302D"/>
                <w:sz w:val="18"/>
                <w:szCs w:val="18"/>
              </w:rPr>
              <w:t xml:space="preserve">Methodology and framework description</w:t>
            </w:r>
          </w:p>
        </w:tc>
      </w:tr>
      <w:tr>
        <w:tc>
          <w:p>
            <w:pPr>
              <w:spacing w:after="40"/>
            </w:pPr>
            <w:r>
              <w:rPr>
                <w:rFonts w:ascii="Aptos" w:cs="Aptos" w:eastAsia="Aptos" w:hAnsi="Aptos"/>
                <w:b/>
                <w:bCs/>
                <w:color w:val="24302D"/>
                <w:sz w:val="18"/>
                <w:szCs w:val="18"/>
              </w:rPr>
              <w:t xml:space="preserve">Primary audience</w:t>
            </w:r>
          </w:p>
        </w:tc>
        <w:tc>
          <w:p>
            <w:pPr>
              <w:spacing w:after="40"/>
            </w:pPr>
            <w:r>
              <w:rPr>
                <w:rFonts w:ascii="Aptos" w:cs="Aptos" w:eastAsia="Aptos" w:hAnsi="Aptos"/>
                <w:b w:val="false"/>
                <w:bCs w:val="false"/>
                <w:color w:val="24302D"/>
                <w:sz w:val="18"/>
                <w:szCs w:val="18"/>
              </w:rPr>
              <w:t xml:space="preserve">Law firm leadership, legal operations, IT, risk, compliance and assessment reviewers</w:t>
            </w:r>
          </w:p>
        </w:tc>
      </w:tr>
      <w:tr>
        <w:tc>
          <w:p>
            <w:pPr>
              <w:spacing w:after="40"/>
            </w:pPr>
            <w:r>
              <w:rPr>
                <w:rFonts w:ascii="Aptos" w:cs="Aptos" w:eastAsia="Aptos" w:hAnsi="Aptos"/>
                <w:b/>
                <w:bCs/>
                <w:color w:val="24302D"/>
                <w:sz w:val="18"/>
                <w:szCs w:val="18"/>
              </w:rPr>
              <w:t xml:space="preserve">Assessment use</w:t>
            </w:r>
          </w:p>
        </w:tc>
        <w:tc>
          <w:p>
            <w:pPr>
              <w:spacing w:after="40"/>
            </w:pPr>
            <w:r>
              <w:rPr>
                <w:rFonts w:ascii="Aptos" w:cs="Aptos" w:eastAsia="Aptos" w:hAnsi="Aptos"/>
                <w:b w:val="false"/>
                <w:bCs w:val="false"/>
                <w:color w:val="24302D"/>
                <w:sz w:val="18"/>
                <w:szCs w:val="18"/>
              </w:rPr>
              <w:t xml:space="preserve">Structured maturity discussion and prioritisation, not certification or legal advice</w:t>
            </w:r>
          </w:p>
        </w:tc>
      </w:tr>
    </w:tbl>
    <w:p>
      <w:pPr>
        <w:pStyle w:val="Heading1"/>
        <w:spacing w:after="120" w:before="260"/>
      </w:pPr>
      <w:r>
        <w:rPr>
          <w:rFonts w:ascii="Aptos Display" w:cs="Aptos Display" w:eastAsia="Aptos Display" w:hAnsi="Aptos Display"/>
          <w:b/>
          <w:bCs/>
          <w:color w:val="A46A4C"/>
        </w:rPr>
        <w:t xml:space="preserve">1. Executive summary</w:t>
      </w:r>
    </w:p>
    <w:p>
      <w:pPr>
        <w:spacing w:after="120" w:line="276"/>
      </w:pPr>
      <w:r>
        <w:rPr>
          <w:rFonts w:ascii="Aptos" w:cs="Aptos" w:eastAsia="Aptos" w:hAnsi="Aptos"/>
          <w:color w:val="24302D"/>
          <w:sz w:val="21"/>
          <w:szCs w:val="21"/>
        </w:rPr>
        <w:t xml:space="preserve">The Legal IT Maturity Assessment is a structured diagnostic framework for understanding how effectively a law firm governs, operates and improves its technology environment. It converts qualitative responses and operating context into a consistent maturity profile across defined domains. The output is designed to support leadership discussion, risk prioritisation, investment planning and a repeatable improvement roadmap.</w:t>
      </w:r>
    </w:p>
    <w:p>
      <w:pPr>
        <w:spacing w:after="120" w:line="276"/>
      </w:pPr>
      <w:r>
        <w:rPr>
          <w:rFonts w:ascii="Aptos" w:cs="Aptos" w:eastAsia="Aptos" w:hAnsi="Aptos"/>
          <w:color w:val="24302D"/>
          <w:sz w:val="21"/>
          <w:szCs w:val="21"/>
        </w:rPr>
        <w:t xml:space="preserve">The framework deliberately separates measurement from interpretation. A respondent provides the current-state description and selects the response that best reflects operating reality. The assessment then calculates domain and overall maturity indicators. Reviewers may add context, challenge assumptions and record evidence gaps before treating a result as an informed management view.</w:t>
      </w:r>
    </w:p>
    <w:p>
      <w:pPr>
        <w:pStyle w:val="Heading1"/>
        <w:spacing w:after="120" w:before="260"/>
      </w:pPr>
      <w:r>
        <w:rPr>
          <w:rFonts w:ascii="Aptos Display" w:cs="Aptos Display" w:eastAsia="Aptos Display" w:hAnsi="Aptos Display"/>
          <w:b/>
          <w:bCs/>
          <w:color w:val="A46A4C"/>
        </w:rPr>
        <w:t xml:space="preserve">2. Scope and intended use</w:t>
      </w:r>
    </w:p>
    <w:p>
      <w:pPr>
        <w:spacing w:after="120" w:line="276"/>
      </w:pPr>
      <w:r>
        <w:rPr>
          <w:rFonts w:ascii="Aptos" w:cs="Aptos" w:eastAsia="Aptos" w:hAnsi="Aptos"/>
          <w:color w:val="24302D"/>
          <w:sz w:val="21"/>
          <w:szCs w:val="21"/>
        </w:rPr>
        <w:t xml:space="preserve">The assessment is intended for internal diagnostic and planning purposes. It may be used as a baseline, a periodic reassessment, a workstream prioritisation tool or a pre-engagement discovery instrument.</w:t>
      </w:r>
    </w:p>
    <w:p>
      <w:pPr>
        <w:spacing w:after="120" w:line="276"/>
      </w:pPr>
      <w:r>
        <w:rPr>
          <w:rFonts w:ascii="Aptos" w:cs="Aptos" w:eastAsia="Aptos" w:hAnsi="Aptos"/>
          <w:color w:val="24302D"/>
          <w:sz w:val="21"/>
          <w:szCs w:val="21"/>
        </w:rPr>
        <w:t xml:space="preserve">It is not intended to replace a technical audit, penetration test, regulatory compliance review, independent assurance engagement, formal certification, legal opinion or board-approved risk acceptance process.</w:t>
      </w:r>
    </w:p>
    <w:p>
      <w:pPr>
        <w:pStyle w:val="Heading1"/>
        <w:spacing w:after="120" w:before="260"/>
      </w:pPr>
      <w:r>
        <w:rPr>
          <w:rFonts w:ascii="Aptos Display" w:cs="Aptos Display" w:eastAsia="Aptos Display" w:hAnsi="Aptos Display"/>
          <w:b/>
          <w:bCs/>
          <w:color w:val="A46A4C"/>
        </w:rPr>
        <w:t xml:space="preserve">3. Assessment architecture</w:t>
      </w:r>
    </w:p>
    <w:p>
      <w:pPr>
        <w:spacing w:after="120" w:line="276"/>
      </w:pPr>
      <w:r>
        <w:rPr>
          <w:rFonts w:ascii="Aptos" w:cs="Aptos" w:eastAsia="Aptos" w:hAnsi="Aptos"/>
          <w:color w:val="24302D"/>
          <w:sz w:val="21"/>
          <w:szCs w:val="21"/>
        </w:rPr>
        <w:t xml:space="preserve">The assessment is organised into eight maturity domains. Each domain represents a distinct capability area while recognising that effective technology governance depends on the interaction between them.</w:t>
      </w:r>
    </w:p>
    <w:tbl>
      <w:tblPr>
        <w:tblW w:type="pct" w:w="5000"/>
        <w:tblBorders>
          <w:top w:val="single" w:color="D8D3CA" w:sz="4"/>
          <w:left w:val="single" w:color="D8D3CA" w:sz="4"/>
          <w:bottom w:val="single" w:color="D8D3CA" w:sz="4"/>
          <w:right w:val="single" w:color="D8D3CA" w:sz="4"/>
          <w:insideH w:val="single" w:color="D8D3CA" w:sz="4"/>
          <w:insideV w:val="single" w:color="D8D3CA" w:sz="4"/>
        </w:tblBorders>
      </w:tblPr>
      <w:tblGrid>
        <w:gridCol w:w="4903"/>
        <w:gridCol w:w="4903"/>
      </w:tblGrid>
      <w:tr>
        <w:tc>
          <w:p>
            <w:pPr>
              <w:spacing w:after="40"/>
            </w:pPr>
            <w:r>
              <w:rPr>
                <w:rFonts w:ascii="Aptos" w:cs="Aptos" w:eastAsia="Aptos" w:hAnsi="Aptos"/>
                <w:b/>
                <w:bCs/>
                <w:color w:val="24302D"/>
                <w:sz w:val="18"/>
                <w:szCs w:val="18"/>
              </w:rPr>
              <w:t xml:space="preserve">Domain</w:t>
            </w:r>
          </w:p>
        </w:tc>
        <w:tc>
          <w:p>
            <w:pPr>
              <w:spacing w:after="40"/>
            </w:pPr>
            <w:r>
              <w:rPr>
                <w:rFonts w:ascii="Aptos" w:cs="Aptos" w:eastAsia="Aptos" w:hAnsi="Aptos"/>
                <w:b/>
                <w:bCs/>
                <w:color w:val="24302D"/>
                <w:sz w:val="18"/>
                <w:szCs w:val="18"/>
              </w:rPr>
              <w:t xml:space="preserve">Capability focus</w:t>
            </w:r>
          </w:p>
        </w:tc>
      </w:tr>
      <w:tr>
        <w:tc>
          <w:p>
            <w:pPr>
              <w:spacing w:after="40"/>
            </w:pPr>
            <w:r>
              <w:rPr>
                <w:rFonts w:ascii="Aptos" w:cs="Aptos" w:eastAsia="Aptos" w:hAnsi="Aptos"/>
                <w:b w:val="false"/>
                <w:bCs w:val="false"/>
                <w:color w:val="24302D"/>
                <w:sz w:val="18"/>
                <w:szCs w:val="18"/>
              </w:rPr>
              <w:t xml:space="preserve">Cybersecurity and information protection</w:t>
            </w:r>
          </w:p>
        </w:tc>
        <w:tc>
          <w:p>
            <w:pPr>
              <w:spacing w:after="40"/>
            </w:pPr>
            <w:r>
              <w:rPr>
                <w:rFonts w:ascii="Aptos" w:cs="Aptos" w:eastAsia="Aptos" w:hAnsi="Aptos"/>
                <w:b w:val="false"/>
                <w:bCs w:val="false"/>
                <w:color w:val="24302D"/>
                <w:sz w:val="18"/>
                <w:szCs w:val="18"/>
              </w:rPr>
              <w:t xml:space="preserve">Protection of systems, information, identities and the firm’s attack surface.</w:t>
            </w:r>
          </w:p>
        </w:tc>
      </w:tr>
      <w:tr>
        <w:tc>
          <w:p>
            <w:pPr>
              <w:spacing w:after="40"/>
            </w:pPr>
            <w:r>
              <w:rPr>
                <w:rFonts w:ascii="Aptos" w:cs="Aptos" w:eastAsia="Aptos" w:hAnsi="Aptos"/>
                <w:b w:val="false"/>
                <w:bCs w:val="false"/>
                <w:color w:val="24302D"/>
                <w:sz w:val="18"/>
                <w:szCs w:val="18"/>
              </w:rPr>
              <w:t xml:space="preserve">Risk and compliance</w:t>
            </w:r>
          </w:p>
        </w:tc>
        <w:tc>
          <w:p>
            <w:pPr>
              <w:spacing w:after="40"/>
            </w:pPr>
            <w:r>
              <w:rPr>
                <w:rFonts w:ascii="Aptos" w:cs="Aptos" w:eastAsia="Aptos" w:hAnsi="Aptos"/>
                <w:b w:val="false"/>
                <w:bCs w:val="false"/>
                <w:color w:val="24302D"/>
                <w:sz w:val="18"/>
                <w:szCs w:val="18"/>
              </w:rPr>
              <w:t xml:space="preserve">Risk ownership, policy governance, regulatory alignment and assurance activities.</w:t>
            </w:r>
          </w:p>
        </w:tc>
      </w:tr>
      <w:tr>
        <w:tc>
          <w:p>
            <w:pPr>
              <w:spacing w:after="40"/>
            </w:pPr>
            <w:r>
              <w:rPr>
                <w:rFonts w:ascii="Aptos" w:cs="Aptos" w:eastAsia="Aptos" w:hAnsi="Aptos"/>
                <w:b w:val="false"/>
                <w:bCs w:val="false"/>
                <w:color w:val="24302D"/>
                <w:sz w:val="18"/>
                <w:szCs w:val="18"/>
              </w:rPr>
              <w:t xml:space="preserve">Technology strategy and governance</w:t>
            </w:r>
          </w:p>
        </w:tc>
        <w:tc>
          <w:p>
            <w:pPr>
              <w:spacing w:after="40"/>
            </w:pPr>
            <w:r>
              <w:rPr>
                <w:rFonts w:ascii="Aptos" w:cs="Aptos" w:eastAsia="Aptos" w:hAnsi="Aptos"/>
                <w:b w:val="false"/>
                <w:bCs w:val="false"/>
                <w:color w:val="24302D"/>
                <w:sz w:val="18"/>
                <w:szCs w:val="18"/>
              </w:rPr>
              <w:t xml:space="preserve">Decision rights, technology planning, investment governance and accountability.</w:t>
            </w:r>
          </w:p>
        </w:tc>
      </w:tr>
      <w:tr>
        <w:tc>
          <w:p>
            <w:pPr>
              <w:spacing w:after="40"/>
            </w:pPr>
            <w:r>
              <w:rPr>
                <w:rFonts w:ascii="Aptos" w:cs="Aptos" w:eastAsia="Aptos" w:hAnsi="Aptos"/>
                <w:b w:val="false"/>
                <w:bCs w:val="false"/>
                <w:color w:val="24302D"/>
                <w:sz w:val="18"/>
                <w:szCs w:val="18"/>
              </w:rPr>
              <w:t xml:space="preserve">Service delivery and operations</w:t>
            </w:r>
          </w:p>
        </w:tc>
        <w:tc>
          <w:p>
            <w:pPr>
              <w:spacing w:after="40"/>
            </w:pPr>
            <w:r>
              <w:rPr>
                <w:rFonts w:ascii="Aptos" w:cs="Aptos" w:eastAsia="Aptos" w:hAnsi="Aptos"/>
                <w:b w:val="false"/>
                <w:bCs w:val="false"/>
                <w:color w:val="24302D"/>
                <w:sz w:val="18"/>
                <w:szCs w:val="18"/>
              </w:rPr>
              <w:t xml:space="preserve">Reliability, support, service management, performance and operational control.</w:t>
            </w:r>
          </w:p>
        </w:tc>
      </w:tr>
      <w:tr>
        <w:tc>
          <w:p>
            <w:pPr>
              <w:spacing w:after="40"/>
            </w:pPr>
            <w:r>
              <w:rPr>
                <w:rFonts w:ascii="Aptos" w:cs="Aptos" w:eastAsia="Aptos" w:hAnsi="Aptos"/>
                <w:b w:val="false"/>
                <w:bCs w:val="false"/>
                <w:color w:val="24302D"/>
                <w:sz w:val="18"/>
                <w:szCs w:val="18"/>
              </w:rPr>
              <w:t xml:space="preserve">Data and information management</w:t>
            </w:r>
          </w:p>
        </w:tc>
        <w:tc>
          <w:p>
            <w:pPr>
              <w:spacing w:after="40"/>
            </w:pPr>
            <w:r>
              <w:rPr>
                <w:rFonts w:ascii="Aptos" w:cs="Aptos" w:eastAsia="Aptos" w:hAnsi="Aptos"/>
                <w:b w:val="false"/>
                <w:bCs w:val="false"/>
                <w:color w:val="24302D"/>
                <w:sz w:val="18"/>
                <w:szCs w:val="18"/>
              </w:rPr>
              <w:t xml:space="preserve">Data ownership, quality, classification, retention, access and lifecycle management.</w:t>
            </w:r>
          </w:p>
        </w:tc>
      </w:tr>
      <w:tr>
        <w:tc>
          <w:p>
            <w:pPr>
              <w:spacing w:after="40"/>
            </w:pPr>
            <w:r>
              <w:rPr>
                <w:rFonts w:ascii="Aptos" w:cs="Aptos" w:eastAsia="Aptos" w:hAnsi="Aptos"/>
                <w:b w:val="false"/>
                <w:bCs w:val="false"/>
                <w:color w:val="24302D"/>
                <w:sz w:val="18"/>
                <w:szCs w:val="18"/>
              </w:rPr>
              <w:t xml:space="preserve">Business continuity and resilience</w:t>
            </w:r>
          </w:p>
        </w:tc>
        <w:tc>
          <w:p>
            <w:pPr>
              <w:spacing w:after="40"/>
            </w:pPr>
            <w:r>
              <w:rPr>
                <w:rFonts w:ascii="Aptos" w:cs="Aptos" w:eastAsia="Aptos" w:hAnsi="Aptos"/>
                <w:b w:val="false"/>
                <w:bCs w:val="false"/>
                <w:color w:val="24302D"/>
                <w:sz w:val="18"/>
                <w:szCs w:val="18"/>
              </w:rPr>
              <w:t xml:space="preserve">Preparedness, recovery capability, dependency management and tested resilience.</w:t>
            </w:r>
          </w:p>
        </w:tc>
      </w:tr>
      <w:tr>
        <w:tc>
          <w:p>
            <w:pPr>
              <w:spacing w:after="40"/>
            </w:pPr>
            <w:r>
              <w:rPr>
                <w:rFonts w:ascii="Aptos" w:cs="Aptos" w:eastAsia="Aptos" w:hAnsi="Aptos"/>
                <w:b w:val="false"/>
                <w:bCs w:val="false"/>
                <w:color w:val="24302D"/>
                <w:sz w:val="18"/>
                <w:szCs w:val="18"/>
              </w:rPr>
              <w:t xml:space="preserve">Architecture and integration</w:t>
            </w:r>
          </w:p>
        </w:tc>
        <w:tc>
          <w:p>
            <w:pPr>
              <w:spacing w:after="40"/>
            </w:pPr>
            <w:r>
              <w:rPr>
                <w:rFonts w:ascii="Aptos" w:cs="Aptos" w:eastAsia="Aptos" w:hAnsi="Aptos"/>
                <w:b w:val="false"/>
                <w:bCs w:val="false"/>
                <w:color w:val="24302D"/>
                <w:sz w:val="18"/>
                <w:szCs w:val="18"/>
              </w:rPr>
              <w:t xml:space="preserve">Technology coherence, integration patterns, standards and sustainable change.</w:t>
            </w:r>
          </w:p>
        </w:tc>
      </w:tr>
      <w:tr>
        <w:tc>
          <w:p>
            <w:pPr>
              <w:spacing w:after="40"/>
            </w:pPr>
            <w:r>
              <w:rPr>
                <w:rFonts w:ascii="Aptos" w:cs="Aptos" w:eastAsia="Aptos" w:hAnsi="Aptos"/>
                <w:b w:val="false"/>
                <w:bCs w:val="false"/>
                <w:color w:val="24302D"/>
                <w:sz w:val="18"/>
                <w:szCs w:val="18"/>
              </w:rPr>
              <w:t xml:space="preserve">People, adoption and change</w:t>
            </w:r>
          </w:p>
        </w:tc>
        <w:tc>
          <w:p>
            <w:pPr>
              <w:spacing w:after="40"/>
            </w:pPr>
            <w:r>
              <w:rPr>
                <w:rFonts w:ascii="Aptos" w:cs="Aptos" w:eastAsia="Aptos" w:hAnsi="Aptos"/>
                <w:b w:val="false"/>
                <w:bCs w:val="false"/>
                <w:color w:val="24302D"/>
                <w:sz w:val="18"/>
                <w:szCs w:val="18"/>
              </w:rPr>
              <w:t xml:space="preserve">Skills, ownership, adoption, communications and the human factors of transformation.</w:t>
            </w:r>
          </w:p>
        </w:tc>
      </w:tr>
    </w:tbl>
    <w:p>
      <w:pPr>
        <w:pStyle w:val="Heading1"/>
        <w:spacing w:after="120" w:before="260"/>
      </w:pPr>
      <w:r>
        <w:rPr>
          <w:rFonts w:ascii="Aptos Display" w:cs="Aptos Display" w:eastAsia="Aptos Display" w:hAnsi="Aptos Display"/>
          <w:b/>
          <w:bCs/>
          <w:color w:val="A46A4C"/>
        </w:rPr>
        <w:t xml:space="preserve">4. Maturity scale</w:t>
      </w:r>
    </w:p>
    <w:p>
      <w:pPr>
        <w:spacing w:after="120" w:line="276"/>
      </w:pPr>
      <w:r>
        <w:rPr>
          <w:rFonts w:ascii="Aptos" w:cs="Aptos" w:eastAsia="Aptos" w:hAnsi="Aptos"/>
          <w:color w:val="24302D"/>
          <w:sz w:val="21"/>
          <w:szCs w:val="21"/>
        </w:rPr>
        <w:t xml:space="preserve">Each domain is assessed against a five-level maturity scale. The scale describes the consistency, repeatability and management discipline of the capability, rather than the size of the technology estate.</w:t>
      </w:r>
    </w:p>
    <w:tbl>
      <w:tblPr>
        <w:tblW w:type="pct" w:w="5000"/>
        <w:tblBorders>
          <w:top w:val="single" w:color="D8D3CA" w:sz="4"/>
          <w:left w:val="single" w:color="D8D3CA" w:sz="4"/>
          <w:bottom w:val="single" w:color="D8D3CA" w:sz="4"/>
          <w:right w:val="single" w:color="D8D3CA" w:sz="4"/>
          <w:insideH w:val="single" w:color="D8D3CA" w:sz="4"/>
          <w:insideV w:val="single" w:color="D8D3CA" w:sz="4"/>
        </w:tblBorders>
      </w:tblPr>
      <w:tblGrid>
        <w:gridCol w:w="3269"/>
        <w:gridCol w:w="3269"/>
        <w:gridCol w:w="3269"/>
      </w:tblGrid>
      <w:tr>
        <w:tc>
          <w:p>
            <w:pPr>
              <w:spacing w:after="40"/>
            </w:pPr>
            <w:r>
              <w:rPr>
                <w:rFonts w:ascii="Aptos" w:cs="Aptos" w:eastAsia="Aptos" w:hAnsi="Aptos"/>
                <w:b/>
                <w:bCs/>
                <w:color w:val="24302D"/>
                <w:sz w:val="18"/>
                <w:szCs w:val="18"/>
              </w:rPr>
              <w:t xml:space="preserve">Level</w:t>
            </w:r>
          </w:p>
        </w:tc>
        <w:tc>
          <w:p>
            <w:pPr>
              <w:spacing w:after="40"/>
            </w:pPr>
            <w:r>
              <w:rPr>
                <w:rFonts w:ascii="Aptos" w:cs="Aptos" w:eastAsia="Aptos" w:hAnsi="Aptos"/>
                <w:b/>
                <w:bCs/>
                <w:color w:val="24302D"/>
                <w:sz w:val="18"/>
                <w:szCs w:val="18"/>
              </w:rPr>
              <w:t xml:space="preserve">Descriptor</w:t>
            </w:r>
          </w:p>
        </w:tc>
        <w:tc>
          <w:p>
            <w:pPr>
              <w:spacing w:after="40"/>
            </w:pPr>
            <w:r>
              <w:rPr>
                <w:rFonts w:ascii="Aptos" w:cs="Aptos" w:eastAsia="Aptos" w:hAnsi="Aptos"/>
                <w:b/>
                <w:bCs/>
                <w:color w:val="24302D"/>
                <w:sz w:val="18"/>
                <w:szCs w:val="18"/>
              </w:rPr>
              <w:t xml:space="preserve">Interpretation</w:t>
            </w:r>
          </w:p>
        </w:tc>
      </w:tr>
      <w:tr>
        <w:tc>
          <w:p>
            <w:pPr>
              <w:spacing w:after="40"/>
            </w:pPr>
            <w:r>
              <w:rPr>
                <w:rFonts w:ascii="Aptos" w:cs="Aptos" w:eastAsia="Aptos" w:hAnsi="Aptos"/>
                <w:b/>
                <w:bCs/>
                <w:color w:val="24302D"/>
                <w:sz w:val="18"/>
                <w:szCs w:val="18"/>
              </w:rPr>
              <w:t xml:space="preserve">1</w:t>
            </w:r>
          </w:p>
        </w:tc>
        <w:tc>
          <w:p>
            <w:pPr>
              <w:spacing w:after="40"/>
            </w:pPr>
            <w:r>
              <w:rPr>
                <w:rFonts w:ascii="Aptos" w:cs="Aptos" w:eastAsia="Aptos" w:hAnsi="Aptos"/>
                <w:b w:val="false"/>
                <w:bCs w:val="false"/>
                <w:color w:val="24302D"/>
                <w:sz w:val="18"/>
                <w:szCs w:val="18"/>
              </w:rPr>
              <w:t xml:space="preserve">Initial</w:t>
            </w:r>
          </w:p>
        </w:tc>
        <w:tc>
          <w:p>
            <w:pPr>
              <w:spacing w:after="40"/>
            </w:pPr>
            <w:r>
              <w:rPr>
                <w:rFonts w:ascii="Aptos" w:cs="Aptos" w:eastAsia="Aptos" w:hAnsi="Aptos"/>
                <w:b w:val="false"/>
                <w:bCs w:val="false"/>
                <w:color w:val="24302D"/>
                <w:sz w:val="18"/>
                <w:szCs w:val="18"/>
              </w:rPr>
              <w:t xml:space="preserve">Activity is mainly reactive, informal or dependent on individuals.</w:t>
            </w:r>
          </w:p>
        </w:tc>
      </w:tr>
      <w:tr>
        <w:tc>
          <w:p>
            <w:pPr>
              <w:spacing w:after="40"/>
            </w:pPr>
            <w:r>
              <w:rPr>
                <w:rFonts w:ascii="Aptos" w:cs="Aptos" w:eastAsia="Aptos" w:hAnsi="Aptos"/>
                <w:b/>
                <w:bCs/>
                <w:color w:val="24302D"/>
                <w:sz w:val="18"/>
                <w:szCs w:val="18"/>
              </w:rPr>
              <w:t xml:space="preserve">2</w:t>
            </w:r>
          </w:p>
        </w:tc>
        <w:tc>
          <w:p>
            <w:pPr>
              <w:spacing w:after="40"/>
            </w:pPr>
            <w:r>
              <w:rPr>
                <w:rFonts w:ascii="Aptos" w:cs="Aptos" w:eastAsia="Aptos" w:hAnsi="Aptos"/>
                <w:b w:val="false"/>
                <w:bCs w:val="false"/>
                <w:color w:val="24302D"/>
                <w:sz w:val="18"/>
                <w:szCs w:val="18"/>
              </w:rPr>
              <w:t xml:space="preserve">Developing</w:t>
            </w:r>
          </w:p>
        </w:tc>
        <w:tc>
          <w:p>
            <w:pPr>
              <w:spacing w:after="40"/>
            </w:pPr>
            <w:r>
              <w:rPr>
                <w:rFonts w:ascii="Aptos" w:cs="Aptos" w:eastAsia="Aptos" w:hAnsi="Aptos"/>
                <w:b w:val="false"/>
                <w:bCs w:val="false"/>
                <w:color w:val="24302D"/>
                <w:sz w:val="18"/>
                <w:szCs w:val="18"/>
              </w:rPr>
              <w:t xml:space="preserve">Some repeatable practices exist, but coverage and ownership are inconsistent.</w:t>
            </w:r>
          </w:p>
        </w:tc>
      </w:tr>
      <w:tr>
        <w:tc>
          <w:p>
            <w:pPr>
              <w:spacing w:after="40"/>
            </w:pPr>
            <w:r>
              <w:rPr>
                <w:rFonts w:ascii="Aptos" w:cs="Aptos" w:eastAsia="Aptos" w:hAnsi="Aptos"/>
                <w:b/>
                <w:bCs/>
                <w:color w:val="24302D"/>
                <w:sz w:val="18"/>
                <w:szCs w:val="18"/>
              </w:rPr>
              <w:t xml:space="preserve">3</w:t>
            </w:r>
          </w:p>
        </w:tc>
        <w:tc>
          <w:p>
            <w:pPr>
              <w:spacing w:after="40"/>
            </w:pPr>
            <w:r>
              <w:rPr>
                <w:rFonts w:ascii="Aptos" w:cs="Aptos" w:eastAsia="Aptos" w:hAnsi="Aptos"/>
                <w:b w:val="false"/>
                <w:bCs w:val="false"/>
                <w:color w:val="24302D"/>
                <w:sz w:val="18"/>
                <w:szCs w:val="18"/>
              </w:rPr>
              <w:t xml:space="preserve">Defined</w:t>
            </w:r>
          </w:p>
        </w:tc>
        <w:tc>
          <w:p>
            <w:pPr>
              <w:spacing w:after="40"/>
            </w:pPr>
            <w:r>
              <w:rPr>
                <w:rFonts w:ascii="Aptos" w:cs="Aptos" w:eastAsia="Aptos" w:hAnsi="Aptos"/>
                <w:b w:val="false"/>
                <w:bCs w:val="false"/>
                <w:color w:val="24302D"/>
                <w:sz w:val="18"/>
                <w:szCs w:val="18"/>
              </w:rPr>
              <w:t xml:space="preserve">Processes, responsibilities and minimum standards are documented and generally applied.</w:t>
            </w:r>
          </w:p>
        </w:tc>
      </w:tr>
      <w:tr>
        <w:tc>
          <w:p>
            <w:pPr>
              <w:spacing w:after="40"/>
            </w:pPr>
            <w:r>
              <w:rPr>
                <w:rFonts w:ascii="Aptos" w:cs="Aptos" w:eastAsia="Aptos" w:hAnsi="Aptos"/>
                <w:b/>
                <w:bCs/>
                <w:color w:val="24302D"/>
                <w:sz w:val="18"/>
                <w:szCs w:val="18"/>
              </w:rPr>
              <w:t xml:space="preserve">4</w:t>
            </w:r>
          </w:p>
        </w:tc>
        <w:tc>
          <w:p>
            <w:pPr>
              <w:spacing w:after="40"/>
            </w:pPr>
            <w:r>
              <w:rPr>
                <w:rFonts w:ascii="Aptos" w:cs="Aptos" w:eastAsia="Aptos" w:hAnsi="Aptos"/>
                <w:b w:val="false"/>
                <w:bCs w:val="false"/>
                <w:color w:val="24302D"/>
                <w:sz w:val="18"/>
                <w:szCs w:val="18"/>
              </w:rPr>
              <w:t xml:space="preserve">Managed</w:t>
            </w:r>
          </w:p>
        </w:tc>
        <w:tc>
          <w:p>
            <w:pPr>
              <w:spacing w:after="40"/>
            </w:pPr>
            <w:r>
              <w:rPr>
                <w:rFonts w:ascii="Aptos" w:cs="Aptos" w:eastAsia="Aptos" w:hAnsi="Aptos"/>
                <w:b w:val="false"/>
                <w:bCs w:val="false"/>
                <w:color w:val="24302D"/>
                <w:sz w:val="18"/>
                <w:szCs w:val="18"/>
              </w:rPr>
              <w:t xml:space="preserve">Performance is measured, risks are actively governed and practices are consistently operated.</w:t>
            </w:r>
          </w:p>
        </w:tc>
      </w:tr>
      <w:tr>
        <w:tc>
          <w:p>
            <w:pPr>
              <w:spacing w:after="40"/>
            </w:pPr>
            <w:r>
              <w:rPr>
                <w:rFonts w:ascii="Aptos" w:cs="Aptos" w:eastAsia="Aptos" w:hAnsi="Aptos"/>
                <w:b/>
                <w:bCs/>
                <w:color w:val="24302D"/>
                <w:sz w:val="18"/>
                <w:szCs w:val="18"/>
              </w:rPr>
              <w:t xml:space="preserve">5</w:t>
            </w:r>
          </w:p>
        </w:tc>
        <w:tc>
          <w:p>
            <w:pPr>
              <w:spacing w:after="40"/>
            </w:pPr>
            <w:r>
              <w:rPr>
                <w:rFonts w:ascii="Aptos" w:cs="Aptos" w:eastAsia="Aptos" w:hAnsi="Aptos"/>
                <w:b w:val="false"/>
                <w:bCs w:val="false"/>
                <w:color w:val="24302D"/>
                <w:sz w:val="18"/>
                <w:szCs w:val="18"/>
              </w:rPr>
              <w:t xml:space="preserve">Optimised</w:t>
            </w:r>
          </w:p>
        </w:tc>
        <w:tc>
          <w:p>
            <w:pPr>
              <w:spacing w:after="40"/>
            </w:pPr>
            <w:r>
              <w:rPr>
                <w:rFonts w:ascii="Aptos" w:cs="Aptos" w:eastAsia="Aptos" w:hAnsi="Aptos"/>
                <w:b w:val="false"/>
                <w:bCs w:val="false"/>
                <w:color w:val="24302D"/>
                <w:sz w:val="18"/>
                <w:szCs w:val="18"/>
              </w:rPr>
              <w:t xml:space="preserve">Capability is continuously improved using data, assurance and forward-looking planning.</w:t>
            </w:r>
          </w:p>
        </w:tc>
      </w:tr>
    </w:tbl>
    <w:p>
      <w:pPr>
        <w:pStyle w:val="Heading1"/>
        <w:spacing w:after="120" w:before="260"/>
      </w:pPr>
      <w:r>
        <w:rPr>
          <w:rFonts w:ascii="Aptos Display" w:cs="Aptos Display" w:eastAsia="Aptos Display" w:hAnsi="Aptos Display"/>
          <w:b/>
          <w:bCs/>
          <w:color w:val="A46A4C"/>
        </w:rPr>
        <w:t xml:space="preserve">5. Question and response design</w:t>
      </w:r>
    </w:p>
    <w:p>
      <w:pPr>
        <w:spacing w:after="120" w:line="276"/>
      </w:pPr>
      <w:r>
        <w:rPr>
          <w:rFonts w:ascii="Aptos" w:cs="Aptos" w:eastAsia="Aptos" w:hAnsi="Aptos"/>
          <w:color w:val="24302D"/>
          <w:sz w:val="21"/>
          <w:szCs w:val="21"/>
        </w:rPr>
        <w:t xml:space="preserve">Each domain contains a set of diagnostic questions written to test observable operating practice. Questions are designed to elicit the current state, not an aspirational target. Respondents should select the statement that most accurately describes how the firm operates today.</w:t>
      </w:r>
    </w:p>
    <w:p>
      <w:pPr>
        <w:pStyle w:val="ListParagraph"/>
        <w:numPr>
          <w:ilvl w:val="0"/>
          <w:numId w:val="1"/>
        </w:numPr>
        <w:spacing w:after="70"/>
      </w:pPr>
      <w:r>
        <w:rPr>
          <w:rFonts w:ascii="Aptos" w:cs="Aptos" w:eastAsia="Aptos" w:hAnsi="Aptos"/>
          <w:color w:val="24302D"/>
          <w:sz w:val="20"/>
          <w:szCs w:val="20"/>
        </w:rPr>
        <w:t xml:space="preserve">Questions focus on practice, ownership, evidence, consistency and outcomes.</w:t>
      </w:r>
    </w:p>
    <w:p>
      <w:pPr>
        <w:pStyle w:val="ListParagraph"/>
        <w:numPr>
          <w:ilvl w:val="0"/>
          <w:numId w:val="1"/>
        </w:numPr>
        <w:spacing w:after="70"/>
      </w:pPr>
      <w:r>
        <w:rPr>
          <w:rFonts w:ascii="Aptos" w:cs="Aptos" w:eastAsia="Aptos" w:hAnsi="Aptos"/>
          <w:color w:val="24302D"/>
          <w:sz w:val="20"/>
          <w:szCs w:val="20"/>
        </w:rPr>
        <w:t xml:space="preserve">The response scale is anchored to the five maturity levels so that scores remain interpretable across domains.</w:t>
      </w:r>
    </w:p>
    <w:p>
      <w:pPr>
        <w:pStyle w:val="ListParagraph"/>
        <w:numPr>
          <w:ilvl w:val="0"/>
          <w:numId w:val="1"/>
        </w:numPr>
        <w:spacing w:after="70"/>
      </w:pPr>
      <w:r>
        <w:rPr>
          <w:rFonts w:ascii="Aptos" w:cs="Aptos" w:eastAsia="Aptos" w:hAnsi="Aptos"/>
          <w:color w:val="24302D"/>
          <w:sz w:val="20"/>
          <w:szCs w:val="20"/>
        </w:rPr>
        <w:t xml:space="preserve">Written context is used to explain exceptions, dependencies, recent changes and areas where the selected response may not tell the full story.</w:t>
      </w:r>
    </w:p>
    <w:p>
      <w:pPr>
        <w:pStyle w:val="ListParagraph"/>
        <w:numPr>
          <w:ilvl w:val="0"/>
          <w:numId w:val="1"/>
        </w:numPr>
        <w:spacing w:after="70"/>
      </w:pPr>
      <w:r>
        <w:rPr>
          <w:rFonts w:ascii="Aptos" w:cs="Aptos" w:eastAsia="Aptos" w:hAnsi="Aptos"/>
          <w:color w:val="24302D"/>
          <w:sz w:val="20"/>
          <w:szCs w:val="20"/>
        </w:rPr>
        <w:t xml:space="preserve">Where a respondent cannot substantiate a response, the appropriate result is an evidence gap, not an assumed higher maturity level.</w:t>
      </w:r>
    </w:p>
    <w:p>
      <w:pPr>
        <w:pStyle w:val="Heading1"/>
        <w:spacing w:after="120" w:before="260"/>
      </w:pPr>
      <w:r>
        <w:rPr>
          <w:rFonts w:ascii="Aptos Display" w:cs="Aptos Display" w:eastAsia="Aptos Display" w:hAnsi="Aptos Display"/>
          <w:b/>
          <w:bCs/>
          <w:color w:val="A46A4C"/>
        </w:rPr>
        <w:t xml:space="preserve">6. Scoring and aggregation</w:t>
      </w:r>
    </w:p>
    <w:p>
      <w:pPr>
        <w:spacing w:after="120" w:line="276"/>
      </w:pPr>
      <w:r>
        <w:rPr>
          <w:rFonts w:ascii="Aptos" w:cs="Aptos" w:eastAsia="Aptos" w:hAnsi="Aptos"/>
          <w:color w:val="24302D"/>
          <w:sz w:val="21"/>
          <w:szCs w:val="21"/>
        </w:rPr>
        <w:t xml:space="preserve">A domain score is calculated from the responses assigned to that domain. The overall maturity view is derived from the domain results and is intended as a portfolio-level indicator. Scores should be read alongside the domain narrative, evidence quality and material risks; a single number is not a substitute for professional judgement.</w:t>
      </w:r>
    </w:p>
    <w:p>
      <w:pPr>
        <w:spacing w:after="120" w:line="276"/>
      </w:pPr>
      <w:r>
        <w:rPr>
          <w:rFonts w:ascii="Aptos" w:cs="Aptos" w:eastAsia="Aptos" w:hAnsi="Aptos"/>
          <w:color w:val="24302D"/>
          <w:sz w:val="21"/>
          <w:szCs w:val="21"/>
        </w:rPr>
        <w:t xml:space="preserve">The framework avoids false precision. Results should be presented using the defined maturity bands and accompanied by the assumptions and limitations that influenced the result. Where domain scores differ materially, the spread is itself a management finding and should inform prioritisation.</w:t>
      </w:r>
    </w:p>
    <w:p>
      <w:pPr>
        <w:pStyle w:val="Heading1"/>
        <w:spacing w:after="120" w:before="260"/>
      </w:pPr>
      <w:r>
        <w:rPr>
          <w:rFonts w:ascii="Aptos Display" w:cs="Aptos Display" w:eastAsia="Aptos Display" w:hAnsi="Aptos Display"/>
          <w:b/>
          <w:bCs/>
          <w:color w:val="A46A4C"/>
        </w:rPr>
        <w:t xml:space="preserve">7. Evidence and confidence</w:t>
      </w:r>
    </w:p>
    <w:p>
      <w:pPr>
        <w:spacing w:after="120" w:line="276"/>
      </w:pPr>
      <w:r>
        <w:rPr>
          <w:rFonts w:ascii="Aptos" w:cs="Aptos" w:eastAsia="Aptos" w:hAnsi="Aptos"/>
          <w:color w:val="24302D"/>
          <w:sz w:val="21"/>
          <w:szCs w:val="21"/>
        </w:rPr>
        <w:t xml:space="preserve">The assessment distinguishes between a stated practice and an evidenced practice. Evidence may include policies, procedures, service records, risk registers, test results, training records, architecture records, metrics, audit outputs and documented ownership. Evidence is not required to complete an initial diagnostic, but its absence should be recorded where it affects confidence.</w:t>
      </w:r>
    </w:p>
    <w:p>
      <w:pPr>
        <w:pStyle w:val="ListParagraph"/>
        <w:numPr>
          <w:ilvl w:val="0"/>
          <w:numId w:val="1"/>
        </w:numPr>
        <w:spacing w:after="70"/>
      </w:pPr>
      <w:r>
        <w:rPr>
          <w:rFonts w:ascii="Aptos" w:cs="Aptos" w:eastAsia="Aptos" w:hAnsi="Aptos"/>
          <w:color w:val="24302D"/>
          <w:sz w:val="20"/>
          <w:szCs w:val="20"/>
        </w:rPr>
        <w:t xml:space="preserve">High confidence: response is supported by current, relevant and attributable evidence.</w:t>
      </w:r>
    </w:p>
    <w:p>
      <w:pPr>
        <w:pStyle w:val="ListParagraph"/>
        <w:numPr>
          <w:ilvl w:val="0"/>
          <w:numId w:val="1"/>
        </w:numPr>
        <w:spacing w:after="70"/>
      </w:pPr>
      <w:r>
        <w:rPr>
          <w:rFonts w:ascii="Aptos" w:cs="Aptos" w:eastAsia="Aptos" w:hAnsi="Aptos"/>
          <w:color w:val="24302D"/>
          <w:sz w:val="20"/>
          <w:szCs w:val="20"/>
        </w:rPr>
        <w:t xml:space="preserve">Moderate confidence: response is plausible and partly supported, but coverage or currency is incomplete.</w:t>
      </w:r>
    </w:p>
    <w:p>
      <w:pPr>
        <w:pStyle w:val="ListParagraph"/>
        <w:numPr>
          <w:ilvl w:val="0"/>
          <w:numId w:val="1"/>
        </w:numPr>
        <w:spacing w:after="70"/>
      </w:pPr>
      <w:r>
        <w:rPr>
          <w:rFonts w:ascii="Aptos" w:cs="Aptos" w:eastAsia="Aptos" w:hAnsi="Aptos"/>
          <w:color w:val="24302D"/>
          <w:sz w:val="20"/>
          <w:szCs w:val="20"/>
        </w:rPr>
        <w:t xml:space="preserve">Low confidence: response relies mainly on recollection, aspiration or unverified assertion.</w:t>
      </w:r>
    </w:p>
    <w:p>
      <w:pPr>
        <w:pStyle w:val="Heading1"/>
        <w:spacing w:after="120" w:before="260"/>
      </w:pPr>
      <w:r>
        <w:rPr>
          <w:rFonts w:ascii="Aptos Display" w:cs="Aptos Display" w:eastAsia="Aptos Display" w:hAnsi="Aptos Display"/>
          <w:b/>
          <w:bCs/>
          <w:color w:val="A46A4C"/>
        </w:rPr>
        <w:t xml:space="preserve">8. Review and challenge process</w:t>
      </w:r>
    </w:p>
    <w:p>
      <w:pPr>
        <w:spacing w:after="120" w:line="276"/>
      </w:pPr>
      <w:r>
        <w:rPr>
          <w:rFonts w:ascii="Aptos" w:cs="Aptos" w:eastAsia="Aptos" w:hAnsi="Aptos"/>
          <w:color w:val="24302D"/>
          <w:sz w:val="21"/>
          <w:szCs w:val="21"/>
        </w:rPr>
        <w:t xml:space="preserve">A robust assessment should be reviewed by appropriate subject-matter owners. The review process confirms that responses reflect operating reality, identifies inconsistent interpretations and records material evidence gaps. Reviewers may amend the narrative or request follow-up evidence; changes should be traceable to the relevant domain and assessment cycle.</w:t>
      </w:r>
    </w:p>
    <w:p>
      <w:pPr>
        <w:pStyle w:val="Heading1"/>
        <w:spacing w:after="120" w:before="260"/>
      </w:pPr>
      <w:r>
        <w:rPr>
          <w:rFonts w:ascii="Aptos Display" w:cs="Aptos Display" w:eastAsia="Aptos Display" w:hAnsi="Aptos Display"/>
          <w:b/>
          <w:bCs/>
          <w:color w:val="A46A4C"/>
        </w:rPr>
        <w:t xml:space="preserve">9. Use of assisted analysis</w:t>
      </w:r>
    </w:p>
    <w:p>
      <w:pPr>
        <w:spacing w:after="120" w:line="276"/>
      </w:pPr>
      <w:r>
        <w:rPr>
          <w:rFonts w:ascii="Aptos" w:cs="Aptos" w:eastAsia="Aptos" w:hAnsi="Aptos"/>
          <w:color w:val="24302D"/>
          <w:sz w:val="21"/>
          <w:szCs w:val="21"/>
        </w:rPr>
        <w:t xml:space="preserve">The framework may use assisted analysis to identify themes, compare written context with the selected maturity signal and draft review observations. Assisted analysis is advisory. It does not determine the score, certify compliance, make a legal determination or replace accountable human review.</w:t>
      </w:r>
    </w:p>
    <w:p>
      <w:pPr>
        <w:pStyle w:val="ListParagraph"/>
        <w:numPr>
          <w:ilvl w:val="0"/>
          <w:numId w:val="1"/>
        </w:numPr>
        <w:spacing w:after="70"/>
      </w:pPr>
      <w:r>
        <w:rPr>
          <w:rFonts w:ascii="Aptos" w:cs="Aptos" w:eastAsia="Aptos" w:hAnsi="Aptos"/>
          <w:color w:val="24302D"/>
          <w:sz w:val="20"/>
          <w:szCs w:val="20"/>
        </w:rPr>
        <w:t xml:space="preserve">Inputs are limited to the assessment scores and written operating context supplied for the relevant domain.</w:t>
      </w:r>
    </w:p>
    <w:p>
      <w:pPr>
        <w:pStyle w:val="ListParagraph"/>
        <w:numPr>
          <w:ilvl w:val="0"/>
          <w:numId w:val="1"/>
        </w:numPr>
        <w:spacing w:after="70"/>
      </w:pPr>
      <w:r>
        <w:rPr>
          <w:rFonts w:ascii="Aptos" w:cs="Aptos" w:eastAsia="Aptos" w:hAnsi="Aptos"/>
          <w:color w:val="24302D"/>
          <w:sz w:val="20"/>
          <w:szCs w:val="20"/>
        </w:rPr>
        <w:t xml:space="preserve">Outputs are framed as observations, potential risks, recommended follow-up actions and evidence gaps.</w:t>
      </w:r>
    </w:p>
    <w:p>
      <w:pPr>
        <w:pStyle w:val="ListParagraph"/>
        <w:numPr>
          <w:ilvl w:val="0"/>
          <w:numId w:val="1"/>
        </w:numPr>
        <w:spacing w:after="70"/>
      </w:pPr>
      <w:r>
        <w:rPr>
          <w:rFonts w:ascii="Aptos" w:cs="Aptos" w:eastAsia="Aptos" w:hAnsi="Aptos"/>
          <w:color w:val="24302D"/>
          <w:sz w:val="20"/>
          <w:szCs w:val="20"/>
        </w:rPr>
        <w:t xml:space="preserve">A named reviewer remains responsible for accepting, editing or rejecting each observation before it is relied upon.</w:t>
      </w:r>
    </w:p>
    <w:p>
      <w:pPr>
        <w:pStyle w:val="ListParagraph"/>
        <w:numPr>
          <w:ilvl w:val="0"/>
          <w:numId w:val="1"/>
        </w:numPr>
        <w:spacing w:after="70"/>
      </w:pPr>
      <w:r>
        <w:rPr>
          <w:rFonts w:ascii="Aptos" w:cs="Aptos" w:eastAsia="Aptos" w:hAnsi="Aptos"/>
          <w:color w:val="24302D"/>
          <w:sz w:val="20"/>
          <w:szCs w:val="20"/>
        </w:rPr>
        <w:t xml:space="preserve">The assessment record should retain the review date, scope, reviewer and material changes to the assisted output.</w:t>
      </w:r>
    </w:p>
    <w:p>
      <w:pPr>
        <w:pStyle w:val="Heading1"/>
        <w:spacing w:after="120" w:before="260"/>
      </w:pPr>
      <w:r>
        <w:rPr>
          <w:rFonts w:ascii="Aptos Display" w:cs="Aptos Display" w:eastAsia="Aptos Display" w:hAnsi="Aptos Display"/>
          <w:b/>
          <w:bCs/>
          <w:color w:val="A46A4C"/>
        </w:rPr>
        <w:t xml:space="preserve">10. Reporting outputs</w:t>
      </w:r>
    </w:p>
    <w:p>
      <w:pPr>
        <w:spacing w:after="120" w:line="276"/>
      </w:pPr>
      <w:r>
        <w:rPr>
          <w:rFonts w:ascii="Aptos" w:cs="Aptos" w:eastAsia="Aptos" w:hAnsi="Aptos"/>
          <w:color w:val="24302D"/>
          <w:sz w:val="21"/>
          <w:szCs w:val="21"/>
        </w:rPr>
        <w:t xml:space="preserve">The standard output consists of an overall maturity view, domain-level results, domain narratives, priority observations, evidence gaps and a sequenced improvement roadmap. Reporting should distinguish current state from target state and should identify the accountable owner, desired outcome, dependencies and review point for each priority action.</w:t>
      </w:r>
    </w:p>
    <w:p>
      <w:pPr>
        <w:pStyle w:val="Heading1"/>
        <w:spacing w:after="120" w:before="260"/>
      </w:pPr>
      <w:r>
        <w:rPr>
          <w:rFonts w:ascii="Aptos Display" w:cs="Aptos Display" w:eastAsia="Aptos Display" w:hAnsi="Aptos Display"/>
          <w:b/>
          <w:bCs/>
          <w:color w:val="A46A4C"/>
        </w:rPr>
        <w:t xml:space="preserve">11. Governance and limitations</w:t>
      </w:r>
    </w:p>
    <w:p>
      <w:pPr>
        <w:pStyle w:val="ListParagraph"/>
        <w:numPr>
          <w:ilvl w:val="0"/>
          <w:numId w:val="1"/>
        </w:numPr>
        <w:spacing w:after="70"/>
      </w:pPr>
      <w:r>
        <w:rPr>
          <w:rFonts w:ascii="Aptos" w:cs="Aptos" w:eastAsia="Aptos" w:hAnsi="Aptos"/>
          <w:color w:val="24302D"/>
          <w:sz w:val="20"/>
          <w:szCs w:val="20"/>
        </w:rPr>
        <w:t xml:space="preserve">The assessment is a management diagnostic and not an assurance opinion.</w:t>
      </w:r>
    </w:p>
    <w:p>
      <w:pPr>
        <w:pStyle w:val="ListParagraph"/>
        <w:numPr>
          <w:ilvl w:val="0"/>
          <w:numId w:val="1"/>
        </w:numPr>
        <w:spacing w:after="70"/>
      </w:pPr>
      <w:r>
        <w:rPr>
          <w:rFonts w:ascii="Aptos" w:cs="Aptos" w:eastAsia="Aptos" w:hAnsi="Aptos"/>
          <w:color w:val="24302D"/>
          <w:sz w:val="20"/>
          <w:szCs w:val="20"/>
        </w:rPr>
        <w:t xml:space="preserve">Results are time-bound and should be refreshed when material changes occur or at an agreed review interval.</w:t>
      </w:r>
    </w:p>
    <w:p>
      <w:pPr>
        <w:pStyle w:val="ListParagraph"/>
        <w:numPr>
          <w:ilvl w:val="0"/>
          <w:numId w:val="1"/>
        </w:numPr>
        <w:spacing w:after="70"/>
      </w:pPr>
      <w:r>
        <w:rPr>
          <w:rFonts w:ascii="Aptos" w:cs="Aptos" w:eastAsia="Aptos" w:hAnsi="Aptos"/>
          <w:color w:val="24302D"/>
          <w:sz w:val="20"/>
          <w:szCs w:val="20"/>
        </w:rPr>
        <w:t xml:space="preserve">Scores may be affected by respondent role, scope, interpretation and the quality of available evidence.</w:t>
      </w:r>
    </w:p>
    <w:p>
      <w:pPr>
        <w:pStyle w:val="ListParagraph"/>
        <w:numPr>
          <w:ilvl w:val="0"/>
          <w:numId w:val="1"/>
        </w:numPr>
        <w:spacing w:after="70"/>
      </w:pPr>
      <w:r>
        <w:rPr>
          <w:rFonts w:ascii="Aptos" w:cs="Aptos" w:eastAsia="Aptos" w:hAnsi="Aptos"/>
          <w:color w:val="24302D"/>
          <w:sz w:val="20"/>
          <w:szCs w:val="20"/>
        </w:rPr>
        <w:t xml:space="preserve">Sensitive information should be minimised and handled under the firm’s information governance requirements.</w:t>
      </w:r>
    </w:p>
    <w:p>
      <w:pPr>
        <w:pStyle w:val="ListParagraph"/>
        <w:numPr>
          <w:ilvl w:val="0"/>
          <w:numId w:val="1"/>
        </w:numPr>
        <w:spacing w:after="70"/>
      </w:pPr>
      <w:r>
        <w:rPr>
          <w:rFonts w:ascii="Aptos" w:cs="Aptos" w:eastAsia="Aptos" w:hAnsi="Aptos"/>
          <w:color w:val="24302D"/>
          <w:sz w:val="20"/>
          <w:szCs w:val="20"/>
        </w:rPr>
        <w:t xml:space="preserve">Methodology changes should be versioned so that results from different assessment cycles remain comparable.</w:t>
      </w:r>
    </w:p>
    <w:p>
      <w:pPr>
        <w:pStyle w:val="Heading1"/>
        <w:spacing w:after="120" w:before="260"/>
      </w:pPr>
      <w:r>
        <w:rPr>
          <w:rFonts w:ascii="Aptos Display" w:cs="Aptos Display" w:eastAsia="Aptos Display" w:hAnsi="Aptos Display"/>
          <w:b/>
          <w:bCs/>
          <w:color w:val="A46A4C"/>
        </w:rPr>
        <w:t xml:space="preserve">12. Recommended operating cycle</w:t>
      </w:r>
    </w:p>
    <w:p>
      <w:pPr>
        <w:spacing w:after="120" w:line="276"/>
      </w:pPr>
      <w:r>
        <w:rPr>
          <w:rFonts w:ascii="Aptos" w:cs="Aptos" w:eastAsia="Aptos" w:hAnsi="Aptos"/>
          <w:color w:val="24302D"/>
          <w:sz w:val="21"/>
          <w:szCs w:val="21"/>
        </w:rPr>
        <w:t xml:space="preserve">A practical cycle is: define scope; identify accountable domain owners; complete the diagnostic; capture written context and evidence references; review and challenge responses; calculate and interpret domain results; agree priority actions; assign owners and dates; and reassess progress using the same framework with version-controlled changes.</w:t>
      </w:r>
    </w:p>
    <w:p>
      <w:pPr>
        <w:pStyle w:val="Heading1"/>
        <w:spacing w:after="120" w:before="260"/>
      </w:pPr>
      <w:r>
        <w:rPr>
          <w:rFonts w:ascii="Aptos Display" w:cs="Aptos Display" w:eastAsia="Aptos Display" w:hAnsi="Aptos Display"/>
          <w:b/>
          <w:bCs/>
          <w:color w:val="A46A4C"/>
        </w:rPr>
        <w:t xml:space="preserve">13. Copyright and authorship record</w:t>
      </w:r>
    </w:p>
    <w:p>
      <w:pPr>
        <w:spacing w:after="120" w:line="276"/>
      </w:pPr>
      <w:r>
        <w:rPr>
          <w:rFonts w:ascii="Aptos" w:cs="Aptos" w:eastAsia="Aptos" w:hAnsi="Aptos"/>
          <w:color w:val="24302D"/>
          <w:sz w:val="21"/>
          <w:szCs w:val="21"/>
        </w:rPr>
        <w:t xml:space="preserve">This methodology document describes the structure and operating method of the Legal IT Maturity Assessment. The assessment content, question wording, taxonomy, scoring presentation, report structure and associated materials should be maintained as controlled work product. Any future amendments should be recorded with a version, date, author or approving owner, and a concise description of the change.</w:t>
      </w:r>
    </w:p>
    <w:sectPr>
      <w:pgSz w:w="11906" w:h="16838" w:orient="portrait"/>
      <w:pgMar w:top="900" w:right="1050" w:bottom="900" w:left="10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02D"/>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IT Maturity Assessment: Methodology and Assessment Framework</dc:title>
  <dc:creator>Legal IT Maturity Assessment</dc:creator>
  <dc:description>Methodology, structure, scoring model, governance and use of the Legal IT Maturity Assessment.</dc:description>
  <cp:lastModifiedBy>Un-named</cp:lastModifiedBy>
  <cp:revision>1</cp:revision>
  <dcterms:created xsi:type="dcterms:W3CDTF">2026-10-23T23:54:41.074Z</dcterms:created>
  <dcterms:modified xsi:type="dcterms:W3CDTF">2026-10-23T23:54:41.076Z</dcterms:modified>
</cp:coreProperties>
</file>

<file path=docProps/custom.xml><?xml version="1.0" encoding="utf-8"?>
<Properties xmlns="http://schemas.openxmlformats.org/officeDocument/2006/custom-properties" xmlns:vt="http://schemas.openxmlformats.org/officeDocument/2006/docPropsVTypes"/>
</file>