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65d"/>
          <w:sz w:val="40"/>
          <w:szCs w:val="40"/>
        </w:rPr>
        <w:t xml:space="preserve">AI Vendor Assessment Questionnaire</w:t>
      </w:r>
    </w:p>
    <w:p>
      <w:pPr>
        <w:spacing w:after="100"/>
        <w:jc w:val="center"/>
      </w:pPr>
      <w:r>
        <w:rPr>
          <w:rFonts w:ascii="Arial" w:cs="Arial" w:eastAsia="Arial" w:hAnsi="Arial"/>
          <w:b/>
          <w:bCs/>
          <w:sz w:val="32"/>
          <w:szCs w:val="32"/>
        </w:rPr>
        <w:t xml:space="preserve">TestVendor AI</w:t>
      </w:r>
    </w:p>
    <w:p>
      <w:pPr>
        <w:spacing w:after="400"/>
        <w:jc w:val="center"/>
      </w:pPr>
      <w:r>
        <w:rPr>
          <w:rFonts w:ascii="Arial" w:cs="Arial" w:eastAsia="Arial" w:hAnsi="Arial"/>
          <w:b/>
          <w:bCs/>
          <w:color w:val="38a169"/>
          <w:sz w:val="24"/>
          <w:szCs w:val="24"/>
        </w:rPr>
        <w:t xml:space="preserve">COMPLETED RESPONSES</w:t>
      </w:r>
    </w:p>
    <w:p>
      <w:r>
        <w:rPr>
          <w:b/>
          <w:bCs/>
        </w:rPr>
        <w:t xml:space="preserve">GUARDIAN Assessment ID: </w:t>
      </w:r>
      <w:r>
        <w:t xml:space="preserve">c6c02b54-b930-4d81-8f14-9f9762889155</w:t>
      </w:r>
    </w:p>
    <w:p>
      <w:r>
        <w:rPr>
          <w:b/>
          <w:bCs/>
        </w:rPr>
        <w:t xml:space="preserve">Assessment Type: </w:t>
      </w:r>
      <w:r>
        <w:t xml:space="preserve">quick</w:t>
      </w:r>
    </w:p>
    <w:p>
      <w:r>
        <w:rPr>
          <w:b/>
          <w:bCs/>
        </w:rPr>
        <w:t xml:space="preserve">Solution: </w:t>
      </w:r>
      <w:r>
        <w:t xml:space="preserve">DiagnosticAssist</w:t>
      </w:r>
    </w:p>
    <w:p>
      <w:r>
        <w:rPr>
          <w:b/>
          <w:bCs/>
        </w:rPr>
        <w:t xml:space="preserve">Created: </w:t>
      </w:r>
      <w:r>
        <w:t xml:space="preserve">January 6, 2026</w:t>
      </w:r>
    </w:p>
    <w:p>
      <w:r>
        <w:rPr>
          <w:b/>
          <w:bCs/>
        </w:rPr>
        <w:t xml:space="preserve">Completed: </w:t>
      </w:r>
      <w:r>
        <w:t xml:space="preserve">January 6, 2026</w:t>
      </w:r>
    </w:p>
    <w:p>
      <w:pPr>
        <w:spacing w:after="400"/>
      </w:pPr>
      <w:r>
        <w:rPr>
          <w:b/>
          <w:bCs/>
        </w:rPr>
        <w:t xml:space="preserve">Total Questions: </w:t>
      </w:r>
      <w:r>
        <w:t xml:space="preserve">44</w:t>
      </w:r>
    </w:p>
    <w:p>
      <w:pPr>
        <w:pStyle w:val="Heading1"/>
      </w:pPr>
      <w:r>
        <w:t xml:space="preserve">Section 1: Clinical Risk</w:t>
      </w:r>
    </w:p>
    <w:p>
      <w:pPr>
        <w:spacing w:before="280" w:after="80"/>
      </w:pPr>
      <w:r>
        <w:rPr>
          <w:b/>
          <w:bCs/>
          <w:sz w:val="24"/>
          <w:szCs w:val="24"/>
        </w:rPr>
        <w:t xml:space="preserve">Question 1.1</w:t>
      </w:r>
    </w:p>
    <w:p>
      <w:pPr>
        <w:spacing w:after="120"/>
      </w:pPr>
      <w:r>
        <w:rPr>
          <w:i/>
          <w:iCs/>
          <w:color w:val="4a5568"/>
          <w:sz w:val="22"/>
          <w:szCs w:val="22"/>
        </w:rPr>
        <w:t xml:space="preserve">Has DiagnosticAssist received Health Canada medical device authorization or FDA clearance/approval for diagnostic imaging interpretation? Please provide authorization number and classification.</w:t>
      </w:r>
    </w:p>
    <w:p>
      <w:pPr>
        <w:spacing w:after="60"/>
      </w:pPr>
      <w:r>
        <w:rPr>
          <w:b/>
          <w:bCs/>
          <w:color w:val="2c5282"/>
          <w:sz w:val="22"/>
          <w:szCs w:val="22"/>
        </w:rPr>
        <w:t xml:space="preserve">Response:</w:t>
      </w:r>
    </w:p>
    <w:p>
      <w:pPr>
        <w:spacing w:after="240"/>
      </w:pPr>
      <w:r>
        <w:rPr>
          <w:sz w:val="22"/>
          <w:szCs w:val="22"/>
        </w:rPr>
        <w:t xml:space="preserve">DiagnosticAssist has received FDA 510(k) clearance (K213456) as a Class II medical device for diagnostic imaging interpretation. Our Health Canada Medical Device License application (MDL) is currently under review with an anticipated approval date in Q2 2026. We have received preliminary positive feedback from Health Canada's Medical Devices Bureau and expect full authorization within 4-6 months.</w:t>
      </w:r>
    </w:p>
    <w:p>
      <w:pPr>
        <w:spacing w:before="280" w:after="80"/>
      </w:pPr>
      <w:r>
        <w:rPr>
          <w:b/>
          <w:bCs/>
          <w:sz w:val="24"/>
          <w:szCs w:val="24"/>
        </w:rPr>
        <w:t xml:space="preserve">Question 1.2</w:t>
      </w:r>
    </w:p>
    <w:p>
      <w:pPr>
        <w:spacing w:after="120"/>
      </w:pPr>
      <w:r>
        <w:rPr>
          <w:i/>
          <w:iCs/>
          <w:color w:val="4a5568"/>
          <w:sz w:val="22"/>
          <w:szCs w:val="22"/>
        </w:rPr>
        <w:t xml:space="preserve">Provide clinical validation studies demonstrating DiagnosticAssist's sensitivity, specificity, and AUC for each imaging modality (X-ray, CT) and pathology it detects.</w:t>
      </w:r>
    </w:p>
    <w:p>
      <w:pPr>
        <w:spacing w:after="60"/>
      </w:pPr>
      <w:r>
        <w:rPr>
          <w:b/>
          <w:bCs/>
          <w:color w:val="2c5282"/>
          <w:sz w:val="22"/>
          <w:szCs w:val="22"/>
        </w:rPr>
        <w:t xml:space="preserve">Response:</w:t>
      </w:r>
    </w:p>
    <w:p>
      <w:pPr>
        <w:spacing w:after="240"/>
      </w:pPr>
      <w:r>
        <w:rPr>
          <w:sz w:val="22"/>
          <w:szCs w:val="22"/>
        </w:rPr>
        <w:t xml:space="preserve">We have conducted extensive clinical validation studies demonstrating strong performance metrics. Our retrospective study of 45,000 chest X-rays showed sensitivity of 94.2% and specificity of 91.8% with AUC of 0.967 for pneumonia detection. CT analysis achieved sensitivity of 96.1% and specificity of 93.4%. These studies were conducted at three academic medical centers in the United States. A peer-reviewed publication is currently under review at the Journal of Medical Imaging. We are planning additional validation studies with Canadian patient populations in 2026.</w:t>
      </w:r>
    </w:p>
    <w:p>
      <w:pPr>
        <w:spacing w:before="280" w:after="80"/>
      </w:pPr>
      <w:r>
        <w:rPr>
          <w:b/>
          <w:bCs/>
          <w:sz w:val="24"/>
          <w:szCs w:val="24"/>
        </w:rPr>
        <w:t xml:space="preserve">Question 1.3</w:t>
      </w:r>
    </w:p>
    <w:p>
      <w:pPr>
        <w:spacing w:after="120"/>
      </w:pPr>
      <w:r>
        <w:rPr>
          <w:i/>
          <w:iCs/>
          <w:color w:val="4a5568"/>
          <w:sz w:val="22"/>
          <w:szCs w:val="22"/>
        </w:rPr>
        <w:t xml:space="preserve">Does the solution enforce mandatory radiologist review and approval before any AI-generated findings are finalized or incorporated into the patient record?</w:t>
      </w:r>
    </w:p>
    <w:p>
      <w:pPr>
        <w:spacing w:after="60"/>
      </w:pPr>
      <w:r>
        <w:rPr>
          <w:b/>
          <w:bCs/>
          <w:color w:val="2c5282"/>
          <w:sz w:val="22"/>
          <w:szCs w:val="22"/>
        </w:rPr>
        <w:t xml:space="preserve">Response:</w:t>
      </w:r>
    </w:p>
    <w:p>
      <w:pPr>
        <w:spacing w:after="240"/>
      </w:pPr>
      <w:r>
        <w:rPr>
          <w:sz w:val="22"/>
          <w:szCs w:val="22"/>
        </w:rPr>
        <w:t xml:space="preserve">Yes, DiagnosticAssist enforces mandatory radiologist review for all AI-generated findings. The system presents AI detections as preliminary observations that require explicit radiologist confirmation before finalization. However, for workflow efficiency, findings can be auto-finalized after 72 hours if no radiologist action is taken, with an automated notification sent to the department supervisor.</w:t>
      </w:r>
    </w:p>
    <w:p>
      <w:pPr>
        <w:spacing w:before="280" w:after="80"/>
      </w:pPr>
      <w:r>
        <w:rPr>
          <w:b/>
          <w:bCs/>
          <w:sz w:val="24"/>
          <w:szCs w:val="24"/>
        </w:rPr>
        <w:t xml:space="preserve">Question 1.4</w:t>
      </w:r>
    </w:p>
    <w:p>
      <w:pPr>
        <w:spacing w:after="120"/>
      </w:pPr>
      <w:r>
        <w:rPr>
          <w:i/>
          <w:iCs/>
          <w:color w:val="4a5568"/>
          <w:sz w:val="22"/>
          <w:szCs w:val="22"/>
        </w:rPr>
        <w:t xml:space="preserve">Describe the override mechanism available to radiologists. How are AI recommendations overridden, and is there a documented audit trail of override decisions?</w:t>
      </w:r>
    </w:p>
    <w:p>
      <w:pPr>
        <w:spacing w:after="60"/>
      </w:pPr>
      <w:r>
        <w:rPr>
          <w:b/>
          <w:bCs/>
          <w:color w:val="2c5282"/>
          <w:sz w:val="22"/>
          <w:szCs w:val="22"/>
        </w:rPr>
        <w:t xml:space="preserve">Response:</w:t>
      </w:r>
    </w:p>
    <w:p>
      <w:pPr>
        <w:spacing w:after="240"/>
      </w:pPr>
      <w:r>
        <w:rPr>
          <w:sz w:val="22"/>
          <w:szCs w:val="22"/>
        </w:rPr>
        <w:t xml:space="preserve">Radiologists can override AI recommendations through a simple one-click interface in our viewer. When overriding, they can select from predefined categories (false positive, artifact, clinically insignificant, other) or add free-text notes. All override decisions are logged with timestamp and user ID. Override documentation is stored separately from the main patient record to streamline clinical workflows and is available upon request for quality review purposes.</w:t>
      </w:r>
    </w:p>
    <w:p>
      <w:pPr>
        <w:spacing w:before="280" w:after="80"/>
      </w:pPr>
      <w:r>
        <w:rPr>
          <w:b/>
          <w:bCs/>
          <w:sz w:val="24"/>
          <w:szCs w:val="24"/>
        </w:rPr>
        <w:t xml:space="preserve">Question 1.5</w:t>
      </w:r>
    </w:p>
    <w:p>
      <w:pPr>
        <w:spacing w:after="120"/>
      </w:pPr>
      <w:r>
        <w:rPr>
          <w:i/>
          <w:iCs/>
          <w:color w:val="4a5568"/>
          <w:sz w:val="22"/>
          <w:szCs w:val="22"/>
        </w:rPr>
        <w:t xml:space="preserve">What processes are in place to monitor for model drift or performance degradation in production?</w:t>
      </w:r>
    </w:p>
    <w:p>
      <w:pPr>
        <w:spacing w:after="60"/>
      </w:pPr>
      <w:r>
        <w:rPr>
          <w:b/>
          <w:bCs/>
          <w:color w:val="2c5282"/>
          <w:sz w:val="22"/>
          <w:szCs w:val="22"/>
        </w:rPr>
        <w:t xml:space="preserve">Response:</w:t>
      </w:r>
    </w:p>
    <w:p>
      <w:pPr>
        <w:spacing w:after="240"/>
      </w:pPr>
      <w:r>
        <w:rPr>
          <w:sz w:val="22"/>
          <w:szCs w:val="22"/>
        </w:rPr>
        <w:t xml:space="preserve">We monitor model performance through quarterly analysis of a sample of cases where ground truth diagnoses are available from pathology or follow-up imaging. Alert thresholds are set at a 5% decline in sensitivity or specificity from baseline. When thresholds are exceeded, our clinical AI team reviews findings and determines if retraining is warranted. Our last formal performance evaluation was completed in August 2025.</w:t>
      </w:r>
    </w:p>
    <w:p>
      <w:pPr>
        <w:pStyle w:val="Heading1"/>
      </w:pPr>
      <w:r>
        <w:t xml:space="preserve">Section 2: Privacy Risk</w:t>
      </w:r>
    </w:p>
    <w:p>
      <w:pPr>
        <w:spacing w:before="280" w:after="80"/>
      </w:pPr>
      <w:r>
        <w:rPr>
          <w:b/>
          <w:bCs/>
          <w:sz w:val="24"/>
          <w:szCs w:val="24"/>
        </w:rPr>
        <w:t xml:space="preserve">Question 2.1</w:t>
      </w:r>
    </w:p>
    <w:p>
      <w:pPr>
        <w:spacing w:after="120"/>
      </w:pPr>
      <w:r>
        <w:rPr>
          <w:i/>
          <w:iCs/>
          <w:color w:val="4a5568"/>
          <w:sz w:val="22"/>
          <w:szCs w:val="22"/>
        </w:rPr>
        <w:t xml:space="preserve">Where is patient imaging data and PHI processed and stored? Confirm data residency and whether all data remains in Canada.</w:t>
      </w:r>
    </w:p>
    <w:p>
      <w:pPr>
        <w:spacing w:after="60"/>
      </w:pPr>
      <w:r>
        <w:rPr>
          <w:b/>
          <w:bCs/>
          <w:color w:val="2c5282"/>
          <w:sz w:val="22"/>
          <w:szCs w:val="22"/>
        </w:rPr>
        <w:t xml:space="preserve">Response:</w:t>
      </w:r>
    </w:p>
    <w:p>
      <w:pPr>
        <w:spacing w:after="240"/>
      </w:pPr>
      <w:r>
        <w:rPr>
          <w:sz w:val="22"/>
          <w:szCs w:val="22"/>
        </w:rPr>
        <w:t xml:space="preserve">Patient imaging data is processed and stored primarily within Canadian data centers located in Montreal and Toronto (AWS ca-central-1). For disaster recovery purposes, encrypted backups are replicated to our US-East region facility. All processing occurs in Canada unless the Canadian infrastructure experiences capacity constraints, in which case overflow processing may temporarily utilize our US infrastructure with equivalent security controls.</w:t>
      </w:r>
    </w:p>
    <w:p>
      <w:pPr>
        <w:spacing w:before="280" w:after="80"/>
      </w:pPr>
      <w:r>
        <w:rPr>
          <w:b/>
          <w:bCs/>
          <w:sz w:val="24"/>
          <w:szCs w:val="24"/>
        </w:rPr>
        <w:t xml:space="preserve">Question 2.2</w:t>
      </w:r>
    </w:p>
    <w:p>
      <w:pPr>
        <w:spacing w:after="120"/>
      </w:pPr>
      <w:r>
        <w:rPr>
          <w:i/>
          <w:iCs/>
          <w:color w:val="4a5568"/>
          <w:sz w:val="22"/>
          <w:szCs w:val="22"/>
        </w:rPr>
        <w:t xml:space="preserve">Provide your Data Processing Agreement (DPA) or Business Associate Agreement (BAA) template.</w:t>
      </w:r>
    </w:p>
    <w:p>
      <w:pPr>
        <w:spacing w:after="60"/>
      </w:pPr>
      <w:r>
        <w:rPr>
          <w:b/>
          <w:bCs/>
          <w:color w:val="2c5282"/>
          <w:sz w:val="22"/>
          <w:szCs w:val="22"/>
        </w:rPr>
        <w:t xml:space="preserve">Response:</w:t>
      </w:r>
    </w:p>
    <w:p>
      <w:pPr>
        <w:spacing w:after="240"/>
      </w:pPr>
      <w:r>
        <w:rPr>
          <w:sz w:val="22"/>
          <w:szCs w:val="22"/>
        </w:rPr>
        <w:t xml:space="preserve">Our standard Data Processing Agreement addresses PIPEDA, provincial health privacy acts, and HIPAA requirements. Key provisions include: data processor obligations, breach notification within 96 hours, restrictions on secondary use, and audit rights. We provide a customizable template that can be adapted to specific provincial requirements. Our BAA for US customers is HIPAA-compliant. Agreement templates are available upon request during the contracting phase.</w:t>
      </w:r>
    </w:p>
    <w:p>
      <w:pPr>
        <w:spacing w:before="280" w:after="80"/>
      </w:pPr>
      <w:r>
        <w:rPr>
          <w:b/>
          <w:bCs/>
          <w:sz w:val="24"/>
          <w:szCs w:val="24"/>
        </w:rPr>
        <w:t xml:space="preserve">Question 2.3</w:t>
      </w:r>
    </w:p>
    <w:p>
      <w:pPr>
        <w:spacing w:after="120"/>
      </w:pPr>
      <w:r>
        <w:rPr>
          <w:i/>
          <w:iCs/>
          <w:color w:val="4a5568"/>
          <w:sz w:val="22"/>
          <w:szCs w:val="22"/>
        </w:rPr>
        <w:t xml:space="preserve">Is patient imaging data used to train, retrain, or improve AI models?</w:t>
      </w:r>
    </w:p>
    <w:p>
      <w:pPr>
        <w:spacing w:after="60"/>
      </w:pPr>
      <w:r>
        <w:rPr>
          <w:b/>
          <w:bCs/>
          <w:color w:val="2c5282"/>
          <w:sz w:val="22"/>
          <w:szCs w:val="22"/>
        </w:rPr>
        <w:t xml:space="preserve">Response:</w:t>
      </w:r>
    </w:p>
    <w:p>
      <w:pPr>
        <w:spacing w:after="240"/>
      </w:pPr>
      <w:r>
        <w:rPr>
          <w:sz w:val="22"/>
          <w:szCs w:val="22"/>
        </w:rPr>
        <w:t xml:space="preserve">Patient imaging data may be used to improve AI model performance. We apply industry-standard de-identification following HIPAA Safe Harbor guidelines, removing the 18 specified identifiers. Data used for model improvement is aggregated with data from multiple institutions. Customers can opt-out of model training by indicating preference in their service agreement. There is no separate patient consent mechanism as data is considered de-identified.</w:t>
      </w:r>
    </w:p>
    <w:p>
      <w:pPr>
        <w:spacing w:before="280" w:after="80"/>
      </w:pPr>
      <w:r>
        <w:rPr>
          <w:b/>
          <w:bCs/>
          <w:sz w:val="24"/>
          <w:szCs w:val="24"/>
        </w:rPr>
        <w:t xml:space="preserve">Question 2.4</w:t>
      </w:r>
    </w:p>
    <w:p>
      <w:pPr>
        <w:spacing w:after="120"/>
      </w:pPr>
      <w:r>
        <w:rPr>
          <w:i/>
          <w:iCs/>
          <w:color w:val="4a5568"/>
          <w:sz w:val="22"/>
          <w:szCs w:val="22"/>
        </w:rPr>
        <w:t xml:space="preserve">Does the solution support patient rights to access, correct, or request deletion of their imaging data?</w:t>
      </w:r>
    </w:p>
    <w:p>
      <w:pPr>
        <w:spacing w:after="60"/>
      </w:pPr>
      <w:r>
        <w:rPr>
          <w:b/>
          <w:bCs/>
          <w:color w:val="2c5282"/>
          <w:sz w:val="22"/>
          <w:szCs w:val="22"/>
        </w:rPr>
        <w:t xml:space="preserve">Response:</w:t>
      </w:r>
    </w:p>
    <w:p>
      <w:pPr>
        <w:spacing w:after="240"/>
      </w:pPr>
      <w:r>
        <w:rPr>
          <w:sz w:val="22"/>
          <w:szCs w:val="22"/>
        </w:rPr>
        <w:t xml:space="preserve">DiagnosticAssist supports data subject rights as required by privacy legislation. Access requests can be submitted through our customer support portal and are typically fulfilled within 45 business days. Correction requests are processed through the customer's PACS administrator. Deletion requests require coordination with the healthcare organization's records retention policies and may take up to 90 days to complete across all backup systems.</w:t>
      </w:r>
    </w:p>
    <w:p>
      <w:pPr>
        <w:spacing w:before="280" w:after="80"/>
      </w:pPr>
      <w:r>
        <w:rPr>
          <w:b/>
          <w:bCs/>
          <w:sz w:val="24"/>
          <w:szCs w:val="24"/>
        </w:rPr>
        <w:t xml:space="preserve">Question 2.5</w:t>
      </w:r>
    </w:p>
    <w:p>
      <w:pPr>
        <w:spacing w:after="120"/>
      </w:pPr>
      <w:r>
        <w:rPr>
          <w:i/>
          <w:iCs/>
          <w:color w:val="4a5568"/>
          <w:sz w:val="22"/>
          <w:szCs w:val="22"/>
        </w:rPr>
        <w:t xml:space="preserve">Provide your Privacy Impact Assessment (PIA) or Data Protection Impact Assessment (DPIA) for DiagnosticAssist.</w:t>
      </w:r>
    </w:p>
    <w:p>
      <w:pPr>
        <w:spacing w:after="60"/>
      </w:pPr>
      <w:r>
        <w:rPr>
          <w:b/>
          <w:bCs/>
          <w:color w:val="2c5282"/>
          <w:sz w:val="22"/>
          <w:szCs w:val="22"/>
        </w:rPr>
        <w:t xml:space="preserve">Response:</w:t>
      </w:r>
    </w:p>
    <w:p>
      <w:pPr>
        <w:spacing w:after="240"/>
      </w:pPr>
      <w:r>
        <w:rPr>
          <w:sz w:val="22"/>
          <w:szCs w:val="22"/>
        </w:rPr>
        <w:t xml:space="preserve">TestVendor AI has completed an internal Privacy Impact Assessment for DiagnosticAssist covering data flows, processing activities, and privacy controls. The PIA was reviewed by our Director of Operations who oversees compliance functions. We are happy to share the executive summary with prospective customers under NDA. A full DPIA following GDPR methodology is planned for completion by Q3 2026 as we expand into European markets.</w:t>
      </w:r>
    </w:p>
    <w:p>
      <w:pPr>
        <w:spacing w:before="280" w:after="80"/>
      </w:pPr>
      <w:r>
        <w:rPr>
          <w:b/>
          <w:bCs/>
          <w:sz w:val="24"/>
          <w:szCs w:val="24"/>
        </w:rPr>
        <w:t xml:space="preserve">Question 2.6</w:t>
      </w:r>
    </w:p>
    <w:p>
      <w:pPr>
        <w:spacing w:after="120"/>
      </w:pPr>
      <w:r>
        <w:rPr>
          <w:i/>
          <w:iCs/>
          <w:color w:val="4a5568"/>
          <w:sz w:val="22"/>
          <w:szCs w:val="22"/>
        </w:rPr>
        <w:t xml:space="preserve">Are imaging studies and associated PHI encrypted at rest and in transit?</w:t>
      </w:r>
    </w:p>
    <w:p>
      <w:pPr>
        <w:spacing w:after="60"/>
      </w:pPr>
      <w:r>
        <w:rPr>
          <w:b/>
          <w:bCs/>
          <w:color w:val="2c5282"/>
          <w:sz w:val="22"/>
          <w:szCs w:val="22"/>
        </w:rPr>
        <w:t xml:space="preserve">Response:</w:t>
      </w:r>
    </w:p>
    <w:p>
      <w:pPr>
        <w:spacing w:after="240"/>
      </w:pPr>
      <w:r>
        <w:rPr>
          <w:sz w:val="22"/>
          <w:szCs w:val="22"/>
        </w:rPr>
        <w:t xml:space="preserve">All imaging data is encrypted at rest using AES-256 encryption and in transit using TLS 1.2. Encryption keys are managed through our internal key management system with annual key rotation. Database encryption uses transparent data encryption (TDE). Backup media is encrypted using the same standards.</w:t>
      </w:r>
    </w:p>
    <w:p>
      <w:pPr>
        <w:spacing w:before="280" w:after="80"/>
      </w:pPr>
      <w:r>
        <w:rPr>
          <w:b/>
          <w:bCs/>
          <w:sz w:val="24"/>
          <w:szCs w:val="24"/>
        </w:rPr>
        <w:t xml:space="preserve">Question 2.7</w:t>
      </w:r>
    </w:p>
    <w:p>
      <w:pPr>
        <w:spacing w:after="120"/>
      </w:pPr>
      <w:r>
        <w:rPr>
          <w:i/>
          <w:iCs/>
          <w:color w:val="4a5568"/>
          <w:sz w:val="22"/>
          <w:szCs w:val="22"/>
        </w:rPr>
        <w:t xml:space="preserve">How long is patient imaging data and AI analysis results retained?</w:t>
      </w:r>
    </w:p>
    <w:p>
      <w:pPr>
        <w:spacing w:after="60"/>
      </w:pPr>
      <w:r>
        <w:rPr>
          <w:b/>
          <w:bCs/>
          <w:color w:val="2c5282"/>
          <w:sz w:val="22"/>
          <w:szCs w:val="22"/>
        </w:rPr>
        <w:t xml:space="preserve">Response:</w:t>
      </w:r>
    </w:p>
    <w:p>
      <w:pPr>
        <w:spacing w:after="240"/>
      </w:pPr>
      <w:r>
        <w:rPr>
          <w:sz w:val="22"/>
          <w:szCs w:val="22"/>
        </w:rPr>
        <w:t xml:space="preserve">Patient imaging data and AI analysis results are retained for the duration of the customer contract plus 7 years, or as specified by the customer's institutional policies if longer. Upon contract termination, customer data is securely deleted within 90 days using NIST-compliant sanitization methods. Customers receive deletion confirmation certificates upon request.</w:t>
      </w:r>
    </w:p>
    <w:p>
      <w:pPr>
        <w:spacing w:before="280" w:after="80"/>
      </w:pPr>
      <w:r>
        <w:rPr>
          <w:b/>
          <w:bCs/>
          <w:sz w:val="24"/>
          <w:szCs w:val="24"/>
        </w:rPr>
        <w:t xml:space="preserve">Question 2.8</w:t>
      </w:r>
    </w:p>
    <w:p>
      <w:pPr>
        <w:spacing w:after="120"/>
      </w:pPr>
      <w:r>
        <w:rPr>
          <w:i/>
          <w:iCs/>
          <w:color w:val="4a5568"/>
          <w:sz w:val="22"/>
          <w:szCs w:val="22"/>
        </w:rPr>
        <w:t xml:space="preserve">Who at TestVendor AI has access to customer PHI during support, maintenance, or troubleshooting?</w:t>
      </w:r>
    </w:p>
    <w:p>
      <w:pPr>
        <w:spacing w:after="60"/>
      </w:pPr>
      <w:r>
        <w:rPr>
          <w:b/>
          <w:bCs/>
          <w:color w:val="2c5282"/>
          <w:sz w:val="22"/>
          <w:szCs w:val="22"/>
        </w:rPr>
        <w:t xml:space="preserve">Response:</w:t>
      </w:r>
    </w:p>
    <w:p>
      <w:pPr>
        <w:spacing w:after="240"/>
      </w:pPr>
      <w:r>
        <w:rPr>
          <w:sz w:val="22"/>
          <w:szCs w:val="22"/>
        </w:rPr>
        <w:t xml:space="preserve">Access to customer PHI is restricted to our Technical Support Team (approximately 15 staff members) on an as-needed basis for troubleshooting and support. All support personnel have signed confidentiality agreements and complete annual privacy training. Access is logged and reviewed monthly by our operations team. Support access does not require customer pre-authorization for routine maintenance activities but customers are notified of any access through monthly activity reports.</w:t>
      </w:r>
    </w:p>
    <w:p>
      <w:pPr>
        <w:pStyle w:val="Heading1"/>
      </w:pPr>
      <w:r>
        <w:t xml:space="preserve">Section 3: Security Risk</w:t>
      </w:r>
    </w:p>
    <w:p>
      <w:pPr>
        <w:spacing w:before="280" w:after="80"/>
      </w:pPr>
      <w:r>
        <w:rPr>
          <w:b/>
          <w:bCs/>
          <w:sz w:val="24"/>
          <w:szCs w:val="24"/>
        </w:rPr>
        <w:t xml:space="preserve">Question 3.1</w:t>
      </w:r>
    </w:p>
    <w:p>
      <w:pPr>
        <w:spacing w:after="120"/>
      </w:pPr>
      <w:r>
        <w:rPr>
          <w:i/>
          <w:iCs/>
          <w:color w:val="4a5568"/>
          <w:sz w:val="22"/>
          <w:szCs w:val="22"/>
        </w:rPr>
        <w:t xml:space="preserve">Provide your most recent SOC 2 Type II, ISO 27001, or HITRUST certification report.</w:t>
      </w:r>
    </w:p>
    <w:p>
      <w:pPr>
        <w:spacing w:after="60"/>
      </w:pPr>
      <w:r>
        <w:rPr>
          <w:b/>
          <w:bCs/>
          <w:color w:val="2c5282"/>
          <w:sz w:val="22"/>
          <w:szCs w:val="22"/>
        </w:rPr>
        <w:t xml:space="preserve">Response:</w:t>
      </w:r>
    </w:p>
    <w:p>
      <w:pPr>
        <w:spacing w:after="240"/>
      </w:pPr>
      <w:r>
        <w:rPr>
          <w:sz w:val="22"/>
          <w:szCs w:val="22"/>
        </w:rPr>
        <w:t xml:space="preserve">TestVendor AI maintains SOC 2 Type I certification, with our Type II audit currently in progress with expected completion in Q2 2026. Our last SOC 2 Type I audit was completed in March 2025 and covered the DiagnosticAssist platform infrastructure. We are also pursuing ISO 27001 certification with target completion by end of 2026. Audit reports are available under NDA to qualified prospective customers.</w:t>
      </w:r>
    </w:p>
    <w:p>
      <w:pPr>
        <w:spacing w:before="280" w:after="80"/>
      </w:pPr>
      <w:r>
        <w:rPr>
          <w:b/>
          <w:bCs/>
          <w:sz w:val="24"/>
          <w:szCs w:val="24"/>
        </w:rPr>
        <w:t xml:space="preserve">Question 3.2</w:t>
      </w:r>
    </w:p>
    <w:p>
      <w:pPr>
        <w:spacing w:after="120"/>
      </w:pPr>
      <w:r>
        <w:rPr>
          <w:i/>
          <w:iCs/>
          <w:color w:val="4a5568"/>
          <w:sz w:val="22"/>
          <w:szCs w:val="22"/>
        </w:rPr>
        <w:t xml:space="preserve">Describe the authentication and authorization mechanisms for radiologists and administrators.</w:t>
      </w:r>
    </w:p>
    <w:p>
      <w:pPr>
        <w:spacing w:after="60"/>
      </w:pPr>
      <w:r>
        <w:rPr>
          <w:b/>
          <w:bCs/>
          <w:color w:val="2c5282"/>
          <w:sz w:val="22"/>
          <w:szCs w:val="22"/>
        </w:rPr>
        <w:t xml:space="preserve">Response:</w:t>
      </w:r>
    </w:p>
    <w:p>
      <w:pPr>
        <w:spacing w:after="240"/>
      </w:pPr>
      <w:r>
        <w:rPr>
          <w:sz w:val="22"/>
          <w:szCs w:val="22"/>
        </w:rPr>
        <w:t xml:space="preserve">DiagnosticAssist supports SAML 2.0 and OAuth 2.0 integration with organizational identity providers including Active Directory Federation Services and Azure AD. Role-based access control provides granular permissions for radiologists, administrators, and IT staff. Multi-factor authentication is supported and can be enabled at the customer's discretion. We recommend but do not require MFA for administrator accounts.</w:t>
      </w:r>
    </w:p>
    <w:p>
      <w:pPr>
        <w:spacing w:before="280" w:after="80"/>
      </w:pPr>
      <w:r>
        <w:rPr>
          <w:b/>
          <w:bCs/>
          <w:sz w:val="24"/>
          <w:szCs w:val="24"/>
        </w:rPr>
        <w:t xml:space="preserve">Question 3.3</w:t>
      </w:r>
    </w:p>
    <w:p>
      <w:pPr>
        <w:spacing w:after="120"/>
      </w:pPr>
      <w:r>
        <w:rPr>
          <w:i/>
          <w:iCs/>
          <w:color w:val="4a5568"/>
          <w:sz w:val="22"/>
          <w:szCs w:val="22"/>
        </w:rPr>
        <w:t xml:space="preserve">What penetration testing and vulnerability assessments have been conducted in the past 12 months?</w:t>
      </w:r>
    </w:p>
    <w:p>
      <w:pPr>
        <w:spacing w:after="60"/>
      </w:pPr>
      <w:r>
        <w:rPr>
          <w:b/>
          <w:bCs/>
          <w:color w:val="2c5282"/>
          <w:sz w:val="22"/>
          <w:szCs w:val="22"/>
        </w:rPr>
        <w:t xml:space="preserve">Response:</w:t>
      </w:r>
    </w:p>
    <w:p>
      <w:pPr>
        <w:spacing w:after="240"/>
      </w:pPr>
      <w:r>
        <w:rPr>
          <w:sz w:val="22"/>
          <w:szCs w:val="22"/>
        </w:rPr>
        <w:t xml:space="preserve">We engaged SecureTech Associates to conduct penetration testing in November 2024. The assessment identified 2 critical, 5 high, and 12 medium findings. All critical findings were remediated within 30 days. High-severity findings were addressed within 60 days. Remaining medium findings are scheduled for remediation in our Q1 2026 release. Executive summary available upon request.</w:t>
      </w:r>
    </w:p>
    <w:p>
      <w:pPr>
        <w:spacing w:before="280" w:after="80"/>
      </w:pPr>
      <w:r>
        <w:rPr>
          <w:b/>
          <w:bCs/>
          <w:sz w:val="24"/>
          <w:szCs w:val="24"/>
        </w:rPr>
        <w:t xml:space="preserve">Question 3.4</w:t>
      </w:r>
    </w:p>
    <w:p>
      <w:pPr>
        <w:spacing w:after="120"/>
      </w:pPr>
      <w:r>
        <w:rPr>
          <w:i/>
          <w:iCs/>
          <w:color w:val="4a5568"/>
          <w:sz w:val="22"/>
          <w:szCs w:val="22"/>
        </w:rPr>
        <w:t xml:space="preserve">For on-premises deployment, what network segmentation and firewall requirements are recommended?</w:t>
      </w:r>
    </w:p>
    <w:p>
      <w:pPr>
        <w:spacing w:after="60"/>
      </w:pPr>
      <w:r>
        <w:rPr>
          <w:b/>
          <w:bCs/>
          <w:color w:val="2c5282"/>
          <w:sz w:val="22"/>
          <w:szCs w:val="22"/>
        </w:rPr>
        <w:t xml:space="preserve">Response:</w:t>
      </w:r>
    </w:p>
    <w:p>
      <w:pPr>
        <w:spacing w:after="240"/>
      </w:pPr>
      <w:r>
        <w:rPr>
          <w:sz w:val="22"/>
          <w:szCs w:val="22"/>
        </w:rPr>
        <w:t xml:space="preserve">For on-premises deployment, we provide comprehensive security hardening guidelines. Recommended network architecture includes placement of the DiagnosticAssist server in a dedicated VLAN with firewall rules limiting inbound connections to PACS integration ports (TCP 104, 4242) and HTTPS management interface. Outbound internet connectivity is required for license validation and software updates. Detailed network diagrams and port requirements are provided during implementation planning.</w:t>
      </w:r>
    </w:p>
    <w:p>
      <w:pPr>
        <w:spacing w:before="280" w:after="80"/>
      </w:pPr>
      <w:r>
        <w:rPr>
          <w:b/>
          <w:bCs/>
          <w:sz w:val="24"/>
          <w:szCs w:val="24"/>
        </w:rPr>
        <w:t xml:space="preserve">Question 3.5</w:t>
      </w:r>
    </w:p>
    <w:p>
      <w:pPr>
        <w:spacing w:after="120"/>
      </w:pPr>
      <w:r>
        <w:rPr>
          <w:i/>
          <w:iCs/>
          <w:color w:val="4a5568"/>
          <w:sz w:val="22"/>
          <w:szCs w:val="22"/>
        </w:rPr>
        <w:t xml:space="preserve">Describe your security incident response plan and breach notification timeline.</w:t>
      </w:r>
    </w:p>
    <w:p>
      <w:pPr>
        <w:spacing w:after="60"/>
      </w:pPr>
      <w:r>
        <w:rPr>
          <w:b/>
          <w:bCs/>
          <w:color w:val="2c5282"/>
          <w:sz w:val="22"/>
          <w:szCs w:val="22"/>
        </w:rPr>
        <w:t xml:space="preserve">Response:</w:t>
      </w:r>
    </w:p>
    <w:p>
      <w:pPr>
        <w:spacing w:after="240"/>
      </w:pPr>
      <w:r>
        <w:rPr>
          <w:sz w:val="22"/>
          <w:szCs w:val="22"/>
        </w:rPr>
        <w:t xml:space="preserve">Our Security Incident Response Plan follows NIST guidelines and includes: detection, analysis, containment, eradication, and recovery phases. For incidents involving PHI, customers are notified within 5 business days of incident confirmation. Our 24/7 security operations center monitors for security events. Annual tabletop exercises test our incident response procedures.</w:t>
      </w:r>
    </w:p>
    <w:p>
      <w:pPr>
        <w:spacing w:before="280" w:after="80"/>
      </w:pPr>
      <w:r>
        <w:rPr>
          <w:b/>
          <w:bCs/>
          <w:sz w:val="24"/>
          <w:szCs w:val="24"/>
        </w:rPr>
        <w:t xml:space="preserve">Question 3.6</w:t>
      </w:r>
    </w:p>
    <w:p>
      <w:pPr>
        <w:spacing w:after="120"/>
      </w:pPr>
      <w:r>
        <w:rPr>
          <w:i/>
          <w:iCs/>
          <w:color w:val="4a5568"/>
          <w:sz w:val="22"/>
          <w:szCs w:val="22"/>
        </w:rPr>
        <w:t xml:space="preserve">Are security logs and audit trails maintained for all system access?</w:t>
      </w:r>
    </w:p>
    <w:p>
      <w:pPr>
        <w:spacing w:after="60"/>
      </w:pPr>
      <w:r>
        <w:rPr>
          <w:b/>
          <w:bCs/>
          <w:color w:val="2c5282"/>
          <w:sz w:val="22"/>
          <w:szCs w:val="22"/>
        </w:rPr>
        <w:t xml:space="preserve">Response:</w:t>
      </w:r>
    </w:p>
    <w:p>
      <w:pPr>
        <w:spacing w:after="240"/>
      </w:pPr>
      <w:r>
        <w:rPr>
          <w:sz w:val="22"/>
          <w:szCs w:val="22"/>
        </w:rPr>
        <w:t xml:space="preserve">Comprehensive audit logs capture system access, data queries, and AI model interactions. Logs include user identification, timestamp, action performed, and affected records. Audit logs are retained for 3 years and are stored in tamper-evident format using append-only storage. Log exports can be provided to customers for their compliance requirements.</w:t>
      </w:r>
    </w:p>
    <w:p>
      <w:pPr>
        <w:spacing w:before="280" w:after="80"/>
      </w:pPr>
      <w:r>
        <w:rPr>
          <w:b/>
          <w:bCs/>
          <w:sz w:val="24"/>
          <w:szCs w:val="24"/>
        </w:rPr>
        <w:t xml:space="preserve">Question 3.7</w:t>
      </w:r>
    </w:p>
    <w:p>
      <w:pPr>
        <w:spacing w:after="120"/>
      </w:pPr>
      <w:r>
        <w:rPr>
          <w:i/>
          <w:iCs/>
          <w:color w:val="4a5568"/>
          <w:sz w:val="22"/>
          <w:szCs w:val="22"/>
        </w:rPr>
        <w:t xml:space="preserve">What is your patch management process for security vulnerabilities?</w:t>
      </w:r>
    </w:p>
    <w:p>
      <w:pPr>
        <w:spacing w:after="60"/>
      </w:pPr>
      <w:r>
        <w:rPr>
          <w:b/>
          <w:bCs/>
          <w:color w:val="2c5282"/>
          <w:sz w:val="22"/>
          <w:szCs w:val="22"/>
        </w:rPr>
        <w:t xml:space="preserve">Response:</w:t>
      </w:r>
    </w:p>
    <w:p>
      <w:pPr>
        <w:spacing w:after="240"/>
      </w:pPr>
      <w:r>
        <w:rPr>
          <w:sz w:val="22"/>
          <w:szCs w:val="22"/>
        </w:rPr>
        <w:t xml:space="preserve">Our patch management process prioritizes vulnerabilities based on CVSS scores. Critical vulnerabilities (CVSS 9.0+) are patched within 30 days of vendor disclosure. High vulnerabilities (CVSS 7.0-8.9) are addressed within 60 days. Medium and low vulnerabilities are bundled into quarterly maintenance releases. Customers receive advance notification of security patches via email 7 days before scheduled deployment.</w:t>
      </w:r>
    </w:p>
    <w:p>
      <w:pPr>
        <w:pStyle w:val="Heading1"/>
      </w:pPr>
      <w:r>
        <w:t xml:space="preserve">Section 4: Technical Credibility</w:t>
      </w:r>
    </w:p>
    <w:p>
      <w:pPr>
        <w:spacing w:before="280" w:after="80"/>
      </w:pPr>
      <w:r>
        <w:rPr>
          <w:b/>
          <w:bCs/>
          <w:sz w:val="24"/>
          <w:szCs w:val="24"/>
        </w:rPr>
        <w:t xml:space="preserve">Question 4.1</w:t>
      </w:r>
    </w:p>
    <w:p>
      <w:pPr>
        <w:spacing w:after="120"/>
      </w:pPr>
      <w:r>
        <w:rPr>
          <w:i/>
          <w:iCs/>
          <w:color w:val="4a5568"/>
          <w:sz w:val="22"/>
          <w:szCs w:val="22"/>
        </w:rPr>
        <w:t xml:space="preserve">Provide a system architecture diagram for DiagnosticAssist.</w:t>
      </w:r>
    </w:p>
    <w:p>
      <w:pPr>
        <w:spacing w:after="60"/>
      </w:pPr>
      <w:r>
        <w:rPr>
          <w:b/>
          <w:bCs/>
          <w:color w:val="2c5282"/>
          <w:sz w:val="22"/>
          <w:szCs w:val="22"/>
        </w:rPr>
        <w:t xml:space="preserve">Response:</w:t>
      </w:r>
    </w:p>
    <w:p>
      <w:pPr>
        <w:spacing w:after="240"/>
      </w:pPr>
      <w:r>
        <w:rPr>
          <w:sz w:val="22"/>
          <w:szCs w:val="22"/>
        </w:rPr>
        <w:t xml:space="preserve">A comprehensive system architecture diagram is available in our Technical Implementation Guide. The architecture includes: DICOM interface for PACS integration, GPU-accelerated inference engine, results database, HL7/FHIR interface for RIS integration, and secure web portal. Security boundaries isolate the processing environment from external networks. The architecture follows a microservices design for scalability.</w:t>
      </w:r>
    </w:p>
    <w:p>
      <w:pPr>
        <w:spacing w:before="280" w:after="80"/>
      </w:pPr>
      <w:r>
        <w:rPr>
          <w:b/>
          <w:bCs/>
          <w:sz w:val="24"/>
          <w:szCs w:val="24"/>
        </w:rPr>
        <w:t xml:space="preserve">Question 4.2</w:t>
      </w:r>
    </w:p>
    <w:p>
      <w:pPr>
        <w:spacing w:after="120"/>
      </w:pPr>
      <w:r>
        <w:rPr>
          <w:i/>
          <w:iCs/>
          <w:color w:val="4a5568"/>
          <w:sz w:val="22"/>
          <w:szCs w:val="22"/>
        </w:rPr>
        <w:t xml:space="preserve">What are the system uptime/availability SLAs?</w:t>
      </w:r>
    </w:p>
    <w:p>
      <w:pPr>
        <w:spacing w:after="60"/>
      </w:pPr>
      <w:r>
        <w:rPr>
          <w:b/>
          <w:bCs/>
          <w:color w:val="2c5282"/>
          <w:sz w:val="22"/>
          <w:szCs w:val="22"/>
        </w:rPr>
        <w:t xml:space="preserve">Response:</w:t>
      </w:r>
    </w:p>
    <w:p>
      <w:pPr>
        <w:spacing w:after="240"/>
      </w:pPr>
      <w:r>
        <w:rPr>
          <w:sz w:val="22"/>
          <w:szCs w:val="22"/>
        </w:rPr>
        <w:t xml:space="preserve">Our SLA commits to 99.5% system availability measured monthly. Historical uptime for the past 12 months: Q4 2024: 99.4%, Q1 2025: 99.6%, Q2 2025: 99.3%, Q3 2025: 99.7%. We experienced one significant incident in May 2025 (4-hour outage due to database failover issue) which has been addressed with infrastructure improvements. Incident reports and RCA documentation available upon request.</w:t>
      </w:r>
    </w:p>
    <w:p>
      <w:pPr>
        <w:spacing w:before="280" w:after="80"/>
      </w:pPr>
      <w:r>
        <w:rPr>
          <w:b/>
          <w:bCs/>
          <w:sz w:val="24"/>
          <w:szCs w:val="24"/>
        </w:rPr>
        <w:t xml:space="preserve">Question 4.3</w:t>
      </w:r>
    </w:p>
    <w:p>
      <w:pPr>
        <w:spacing w:after="120"/>
      </w:pPr>
      <w:r>
        <w:rPr>
          <w:i/>
          <w:iCs/>
          <w:color w:val="4a5568"/>
          <w:sz w:val="22"/>
          <w:szCs w:val="22"/>
        </w:rPr>
        <w:t xml:space="preserve">What is the typical processing time for DiagnosticAssist to analyze studies?</w:t>
      </w:r>
    </w:p>
    <w:p>
      <w:pPr>
        <w:spacing w:after="60"/>
      </w:pPr>
      <w:r>
        <w:rPr>
          <w:b/>
          <w:bCs/>
          <w:color w:val="2c5282"/>
          <w:sz w:val="22"/>
          <w:szCs w:val="22"/>
        </w:rPr>
        <w:t xml:space="preserve">Response:</w:t>
      </w:r>
    </w:p>
    <w:p>
      <w:pPr>
        <w:spacing w:after="240"/>
      </w:pPr>
      <w:r>
        <w:rPr>
          <w:sz w:val="22"/>
          <w:szCs w:val="22"/>
        </w:rPr>
        <w:t xml:space="preserve">Typical processing times are: Chest X-ray: 8-12 seconds, CT scan (100 slices): 45-90 seconds. Performance scales linearly with additional inference servers. Our standard deployment supports up to 50 concurrent users and 2,000 studies per day. Higher volume deployments require additional infrastructure which can be quoted based on specific requirements.</w:t>
      </w:r>
    </w:p>
    <w:p>
      <w:pPr>
        <w:spacing w:before="280" w:after="80"/>
      </w:pPr>
      <w:r>
        <w:rPr>
          <w:b/>
          <w:bCs/>
          <w:sz w:val="24"/>
          <w:szCs w:val="24"/>
        </w:rPr>
        <w:t xml:space="preserve">Question 4.4</w:t>
      </w:r>
    </w:p>
    <w:p>
      <w:pPr>
        <w:spacing w:after="120"/>
      </w:pPr>
      <w:r>
        <w:rPr>
          <w:i/>
          <w:iCs/>
          <w:color w:val="4a5568"/>
          <w:sz w:val="22"/>
          <w:szCs w:val="22"/>
        </w:rPr>
        <w:t xml:space="preserve">Describe your software development lifecycle (SDLC) practices.</w:t>
      </w:r>
    </w:p>
    <w:p>
      <w:pPr>
        <w:spacing w:after="60"/>
      </w:pPr>
      <w:r>
        <w:rPr>
          <w:b/>
          <w:bCs/>
          <w:color w:val="2c5282"/>
          <w:sz w:val="22"/>
          <w:szCs w:val="22"/>
        </w:rPr>
        <w:t xml:space="preserve">Response:</w:t>
      </w:r>
    </w:p>
    <w:p>
      <w:pPr>
        <w:spacing w:after="240"/>
      </w:pPr>
      <w:r>
        <w:rPr>
          <w:sz w:val="22"/>
          <w:szCs w:val="22"/>
        </w:rPr>
        <w:t xml:space="preserve">TestVendor AI follows secure SDLC practices including: version control (GitHub), code review requirements (minimum one approver), automated unit and integration testing, static code analysis using SonarQube, and dependency vulnerability scanning. We align with OWASP Top 10 guidelines for web application security. Change management requires documented approval for production deployments.</w:t>
      </w:r>
    </w:p>
    <w:p>
      <w:pPr>
        <w:pStyle w:val="Heading1"/>
      </w:pPr>
      <w:r>
        <w:t xml:space="preserve">Section 5: Vendor Capability</w:t>
      </w:r>
    </w:p>
    <w:p>
      <w:pPr>
        <w:spacing w:before="280" w:after="80"/>
      </w:pPr>
      <w:r>
        <w:rPr>
          <w:b/>
          <w:bCs/>
          <w:sz w:val="24"/>
          <w:szCs w:val="24"/>
        </w:rPr>
        <w:t xml:space="preserve">Question 5.1</w:t>
      </w:r>
    </w:p>
    <w:p>
      <w:pPr>
        <w:spacing w:after="120"/>
      </w:pPr>
      <w:r>
        <w:rPr>
          <w:i/>
          <w:iCs/>
          <w:color w:val="4a5568"/>
          <w:sz w:val="22"/>
          <w:szCs w:val="22"/>
        </w:rPr>
        <w:t xml:space="preserve">Provide an overview of TestVendor AI's financial stability, funding status, and years in operation.</w:t>
      </w:r>
    </w:p>
    <w:p>
      <w:pPr>
        <w:spacing w:after="60"/>
      </w:pPr>
      <w:r>
        <w:rPr>
          <w:b/>
          <w:bCs/>
          <w:color w:val="2c5282"/>
          <w:sz w:val="22"/>
          <w:szCs w:val="22"/>
        </w:rPr>
        <w:t xml:space="preserve">Response:</w:t>
      </w:r>
    </w:p>
    <w:p>
      <w:pPr>
        <w:spacing w:after="240"/>
      </w:pPr>
      <w:r>
        <w:rPr>
          <w:sz w:val="22"/>
          <w:szCs w:val="22"/>
        </w:rPr>
        <w:t xml:space="preserve">TestVendor AI was founded in 2021 and has raised $12M in Series A funding from leading healthcare technology investors. We have 18 months of operating runway at current burn rate and are actively pursuing Series B funding for 2026. Our team includes 35 employees with backgrounds from leading technology companies and academic medical centers. We are not yet profitable but are on track to achieve profitability by Q4 2026.</w:t>
      </w:r>
    </w:p>
    <w:p>
      <w:pPr>
        <w:spacing w:before="280" w:after="80"/>
      </w:pPr>
      <w:r>
        <w:rPr>
          <w:b/>
          <w:bCs/>
          <w:sz w:val="24"/>
          <w:szCs w:val="24"/>
        </w:rPr>
        <w:t xml:space="preserve">Question 5.2</w:t>
      </w:r>
    </w:p>
    <w:p>
      <w:pPr>
        <w:spacing w:after="120"/>
      </w:pPr>
      <w:r>
        <w:rPr>
          <w:i/>
          <w:iCs/>
          <w:color w:val="4a5568"/>
          <w:sz w:val="22"/>
          <w:szCs w:val="22"/>
        </w:rPr>
        <w:t xml:space="preserve">Describe your customer support model for DiagnosticAssist.</w:t>
      </w:r>
    </w:p>
    <w:p>
      <w:pPr>
        <w:spacing w:after="60"/>
      </w:pPr>
      <w:r>
        <w:rPr>
          <w:b/>
          <w:bCs/>
          <w:color w:val="2c5282"/>
          <w:sz w:val="22"/>
          <w:szCs w:val="22"/>
        </w:rPr>
        <w:t xml:space="preserve">Response:</w:t>
      </w:r>
    </w:p>
    <w:p>
      <w:pPr>
        <w:spacing w:after="240"/>
      </w:pPr>
      <w:r>
        <w:rPr>
          <w:sz w:val="22"/>
          <w:szCs w:val="22"/>
        </w:rPr>
        <w:t xml:space="preserve">Customer support is available Monday-Friday, 8am-8pm EST via phone, email, and support portal. Critical issues (P1) receive response within 4 hours; high-priority issues (P2) within 8 business hours. Each customer is assigned a Customer Success Manager for implementation and ongoing relationship management. 24/7 emergency support is available for P1 issues at additional cost.</w:t>
      </w:r>
    </w:p>
    <w:p>
      <w:pPr>
        <w:spacing w:before="280" w:after="80"/>
      </w:pPr>
      <w:r>
        <w:rPr>
          <w:b/>
          <w:bCs/>
          <w:sz w:val="24"/>
          <w:szCs w:val="24"/>
        </w:rPr>
        <w:t xml:space="preserve">Question 5.3</w:t>
      </w:r>
    </w:p>
    <w:p>
      <w:pPr>
        <w:spacing w:after="120"/>
      </w:pPr>
      <w:r>
        <w:rPr>
          <w:i/>
          <w:iCs/>
          <w:color w:val="4a5568"/>
          <w:sz w:val="22"/>
          <w:szCs w:val="22"/>
        </w:rPr>
        <w:t xml:space="preserve">How many healthcare organizations currently use DiagnosticAssist in production?</w:t>
      </w:r>
    </w:p>
    <w:p>
      <w:pPr>
        <w:spacing w:after="60"/>
      </w:pPr>
      <w:r>
        <w:rPr>
          <w:b/>
          <w:bCs/>
          <w:color w:val="2c5282"/>
          <w:sz w:val="22"/>
          <w:szCs w:val="22"/>
        </w:rPr>
        <w:t xml:space="preserve">Response:</w:t>
      </w:r>
    </w:p>
    <w:p>
      <w:pPr>
        <w:spacing w:after="240"/>
      </w:pPr>
      <w:r>
        <w:rPr>
          <w:sz w:val="22"/>
          <w:szCs w:val="22"/>
        </w:rPr>
        <w:t xml:space="preserve">DiagnosticAssist is currently deployed in production at 8 healthcare organizations, including 6 in the United States and 2 in Canada. Canadian customers include a community hospital in Ontario (200 beds) and a diagnostic imaging center in British Columbia. We can provide reference contacts upon execution of mutual NDA. Additional Canadian deployments are planned for 2026.</w:t>
      </w:r>
    </w:p>
    <w:p>
      <w:pPr>
        <w:pStyle w:val="Heading1"/>
      </w:pPr>
      <w:r>
        <w:t xml:space="preserve">Section 6: AI Transparency</w:t>
      </w:r>
    </w:p>
    <w:p>
      <w:pPr>
        <w:spacing w:before="280" w:after="80"/>
      </w:pPr>
      <w:r>
        <w:rPr>
          <w:b/>
          <w:bCs/>
          <w:sz w:val="24"/>
          <w:szCs w:val="24"/>
        </w:rPr>
        <w:t xml:space="preserve">Question 6.1</w:t>
      </w:r>
    </w:p>
    <w:p>
      <w:pPr>
        <w:spacing w:after="120"/>
      </w:pPr>
      <w:r>
        <w:rPr>
          <w:i/>
          <w:iCs/>
          <w:color w:val="4a5568"/>
          <w:sz w:val="22"/>
          <w:szCs w:val="22"/>
        </w:rPr>
        <w:t xml:space="preserve">Describe the AI model architecture and training datasets used.</w:t>
      </w:r>
    </w:p>
    <w:p>
      <w:pPr>
        <w:spacing w:after="60"/>
      </w:pPr>
      <w:r>
        <w:rPr>
          <w:b/>
          <w:bCs/>
          <w:color w:val="2c5282"/>
          <w:sz w:val="22"/>
          <w:szCs w:val="22"/>
        </w:rPr>
        <w:t xml:space="preserve">Response:</w:t>
      </w:r>
    </w:p>
    <w:p>
      <w:pPr>
        <w:spacing w:after="240"/>
      </w:pPr>
      <w:r>
        <w:rPr>
          <w:sz w:val="22"/>
          <w:szCs w:val="22"/>
        </w:rPr>
        <w:t xml:space="preserve">DiagnosticAssist uses an ensemble of convolutional neural networks based on EfficientNet-B7 and ResNet-152 architectures. Training data included approximately 2.1 million annotated imaging studies from partner academic institutions in the United States. Demographic characteristics: 62% Caucasian, 18% African American, 12% Hispanic, 8% other. Age distribution: 45% 40-65, 30% 65+, 25% under 40. Gender: 52% male, 48% female.</w:t>
      </w:r>
    </w:p>
    <w:p>
      <w:pPr>
        <w:spacing w:before="280" w:after="80"/>
      </w:pPr>
      <w:r>
        <w:rPr>
          <w:b/>
          <w:bCs/>
          <w:sz w:val="24"/>
          <w:szCs w:val="24"/>
        </w:rPr>
        <w:t xml:space="preserve">Question 6.2</w:t>
      </w:r>
    </w:p>
    <w:p>
      <w:pPr>
        <w:spacing w:after="120"/>
      </w:pPr>
      <w:r>
        <w:rPr>
          <w:i/>
          <w:iCs/>
          <w:color w:val="4a5568"/>
          <w:sz w:val="22"/>
          <w:szCs w:val="22"/>
        </w:rPr>
        <w:t xml:space="preserve">Does DiagnosticAssist provide explainability features?</w:t>
      </w:r>
    </w:p>
    <w:p>
      <w:pPr>
        <w:spacing w:after="60"/>
      </w:pPr>
      <w:r>
        <w:rPr>
          <w:b/>
          <w:bCs/>
          <w:color w:val="2c5282"/>
          <w:sz w:val="22"/>
          <w:szCs w:val="22"/>
        </w:rPr>
        <w:t xml:space="preserve">Response:</w:t>
      </w:r>
    </w:p>
    <w:p>
      <w:pPr>
        <w:spacing w:after="240"/>
      </w:pPr>
      <w:r>
        <w:rPr>
          <w:sz w:val="22"/>
          <w:szCs w:val="22"/>
        </w:rPr>
        <w:t xml:space="preserve">DiagnosticAssist provides confidence scores (0-100%) for each AI finding and generates attention heatmaps highlighting regions of interest that influenced the AI output. Radiologists can view these visualizations through our integrated viewer or export them as DICOM overlays. We are developing more advanced explainability features including natural language rationales for our 2026 roadmap.</w:t>
      </w:r>
    </w:p>
    <w:p>
      <w:pPr>
        <w:spacing w:before="280" w:after="80"/>
      </w:pPr>
      <w:r>
        <w:rPr>
          <w:b/>
          <w:bCs/>
          <w:sz w:val="24"/>
          <w:szCs w:val="24"/>
        </w:rPr>
        <w:t xml:space="preserve">Question 6.3</w:t>
      </w:r>
    </w:p>
    <w:p>
      <w:pPr>
        <w:spacing w:after="120"/>
      </w:pPr>
      <w:r>
        <w:rPr>
          <w:i/>
          <w:iCs/>
          <w:color w:val="4a5568"/>
          <w:sz w:val="22"/>
          <w:szCs w:val="22"/>
        </w:rPr>
        <w:t xml:space="preserve">What bias testing has been conducted on DiagnosticAssist?</w:t>
      </w:r>
    </w:p>
    <w:p>
      <w:pPr>
        <w:spacing w:after="60"/>
      </w:pPr>
      <w:r>
        <w:rPr>
          <w:b/>
          <w:bCs/>
          <w:color w:val="2c5282"/>
          <w:sz w:val="22"/>
          <w:szCs w:val="22"/>
        </w:rPr>
        <w:t xml:space="preserve">Response:</w:t>
      </w:r>
    </w:p>
    <w:p>
      <w:pPr>
        <w:spacing w:after="240"/>
      </w:pPr>
      <w:r>
        <w:rPr>
          <w:sz w:val="22"/>
          <w:szCs w:val="22"/>
        </w:rPr>
        <w:t xml:space="preserve">We have conducted performance analysis across demographic subgroups using our validation dataset. Performance was consistent across age groups and genders (within 2% variance). We observed slightly lower sensitivity (approximately 4% lower) for patients over 75 and for studies from older imaging equipment manufactured before 2015. Detailed fairness analysis documentation is being formalized and will be available in Q2 2026.</w:t>
      </w:r>
    </w:p>
    <w:p>
      <w:pPr>
        <w:spacing w:before="280" w:after="80"/>
      </w:pPr>
      <w:r>
        <w:rPr>
          <w:b/>
          <w:bCs/>
          <w:sz w:val="24"/>
          <w:szCs w:val="24"/>
        </w:rPr>
        <w:t xml:space="preserve">Question 6.4</w:t>
      </w:r>
    </w:p>
    <w:p>
      <w:pPr>
        <w:spacing w:after="120"/>
      </w:pPr>
      <w:r>
        <w:rPr>
          <w:i/>
          <w:iCs/>
          <w:color w:val="4a5568"/>
          <w:sz w:val="22"/>
          <w:szCs w:val="22"/>
        </w:rPr>
        <w:t xml:space="preserve">How often is the AI model updated or retrained?</w:t>
      </w:r>
    </w:p>
    <w:p>
      <w:pPr>
        <w:spacing w:after="60"/>
      </w:pPr>
      <w:r>
        <w:rPr>
          <w:b/>
          <w:bCs/>
          <w:color w:val="2c5282"/>
          <w:sz w:val="22"/>
          <w:szCs w:val="22"/>
        </w:rPr>
        <w:t xml:space="preserve">Response:</w:t>
      </w:r>
    </w:p>
    <w:p>
      <w:pPr>
        <w:spacing w:after="240"/>
      </w:pPr>
      <w:r>
        <w:rPr>
          <w:sz w:val="22"/>
          <w:szCs w:val="22"/>
        </w:rPr>
        <w:t xml:space="preserve">Major model updates occur annually following retraining on expanded datasets. Minor updates for bug fixes and performance optimization are released quarterly. Our Model Governance Board (comprising our Chief Medical Officer, VP Engineering, and external clinical advisor) reviews and approves all model changes. Customers receive 30 days advance notice of major model updates with release notes describing changes.</w:t>
      </w:r>
    </w:p>
    <w:p>
      <w:pPr>
        <w:pStyle w:val="Heading1"/>
      </w:pPr>
      <w:r>
        <w:t xml:space="preserve">Section 7: Ethical Considerations</w:t>
      </w:r>
    </w:p>
    <w:p>
      <w:pPr>
        <w:spacing w:before="280" w:after="80"/>
      </w:pPr>
      <w:r>
        <w:rPr>
          <w:b/>
          <w:bCs/>
          <w:sz w:val="24"/>
          <w:szCs w:val="24"/>
        </w:rPr>
        <w:t xml:space="preserve">Question 7.1</w:t>
      </w:r>
    </w:p>
    <w:p>
      <w:pPr>
        <w:spacing w:after="120"/>
      </w:pPr>
      <w:r>
        <w:rPr>
          <w:i/>
          <w:iCs/>
          <w:color w:val="4a5568"/>
          <w:sz w:val="22"/>
          <w:szCs w:val="22"/>
        </w:rPr>
        <w:t xml:space="preserve">Does TestVendor AI have a published AI ethics policy or responsible AI framework?</w:t>
      </w:r>
    </w:p>
    <w:p>
      <w:pPr>
        <w:spacing w:after="60"/>
      </w:pPr>
      <w:r>
        <w:rPr>
          <w:b/>
          <w:bCs/>
          <w:color w:val="2c5282"/>
          <w:sz w:val="22"/>
          <w:szCs w:val="22"/>
        </w:rPr>
        <w:t xml:space="preserve">Response:</w:t>
      </w:r>
    </w:p>
    <w:p>
      <w:pPr>
        <w:spacing w:after="240"/>
      </w:pPr>
      <w:r>
        <w:rPr>
          <w:sz w:val="22"/>
          <w:szCs w:val="22"/>
        </w:rPr>
        <w:t xml:space="preserve">TestVendor AI is committed to responsible AI development. Our approach is guided by principles including: patient safety, clinical efficacy, data privacy, and transparency. We are in the process of formalizing these principles into a published AI Ethics Framework, expected to be completed by mid-2026. Our product development process includes ethics review for significant features.</w:t>
      </w:r>
    </w:p>
    <w:p>
      <w:pPr>
        <w:spacing w:before="280" w:after="80"/>
      </w:pPr>
      <w:r>
        <w:rPr>
          <w:b/>
          <w:bCs/>
          <w:sz w:val="24"/>
          <w:szCs w:val="24"/>
        </w:rPr>
        <w:t xml:space="preserve">Question 7.2</w:t>
      </w:r>
    </w:p>
    <w:p>
      <w:pPr>
        <w:spacing w:after="120"/>
      </w:pPr>
      <w:r>
        <w:rPr>
          <w:i/>
          <w:iCs/>
          <w:color w:val="4a5568"/>
          <w:sz w:val="22"/>
          <w:szCs w:val="22"/>
        </w:rPr>
        <w:t xml:space="preserve">How does DiagnosticAssist preserve radiologist autonomy and clinical decision-making authority?</w:t>
      </w:r>
    </w:p>
    <w:p>
      <w:pPr>
        <w:spacing w:after="60"/>
      </w:pPr>
      <w:r>
        <w:rPr>
          <w:b/>
          <w:bCs/>
          <w:color w:val="2c5282"/>
          <w:sz w:val="22"/>
          <w:szCs w:val="22"/>
        </w:rPr>
        <w:t xml:space="preserve">Response:</w:t>
      </w:r>
    </w:p>
    <w:p>
      <w:pPr>
        <w:spacing w:after="240"/>
      </w:pPr>
      <w:r>
        <w:rPr>
          <w:sz w:val="22"/>
          <w:szCs w:val="22"/>
        </w:rPr>
        <w:t xml:space="preserve">DiagnosticAssist is designed as a clinical decision support tool, not a replacement for radiologist judgment. UI design emphasizes that AI findings are suggestions requiring clinical review. AI confidence scores encourage appropriate reliance calibration. We do not display AI findings in a way that could unduly influence the radiologist's independent assessment, though findings are visible before the radiologist completes their own review.</w:t>
      </w:r>
    </w:p>
    <w:p>
      <w:pPr>
        <w:spacing w:before="280" w:after="80"/>
      </w:pPr>
      <w:r>
        <w:rPr>
          <w:b/>
          <w:bCs/>
          <w:sz w:val="24"/>
          <w:szCs w:val="24"/>
        </w:rPr>
        <w:t xml:space="preserve">Question 7.3</w:t>
      </w:r>
    </w:p>
    <w:p>
      <w:pPr>
        <w:spacing w:after="120"/>
      </w:pPr>
      <w:r>
        <w:rPr>
          <w:i/>
          <w:iCs/>
          <w:color w:val="4a5568"/>
          <w:sz w:val="22"/>
          <w:szCs w:val="22"/>
        </w:rPr>
        <w:t xml:space="preserve">What measures are in place to ensure equitable access and performance across diverse patient populations?</w:t>
      </w:r>
    </w:p>
    <w:p>
      <w:pPr>
        <w:spacing w:after="60"/>
      </w:pPr>
      <w:r>
        <w:rPr>
          <w:b/>
          <w:bCs/>
          <w:color w:val="2c5282"/>
          <w:sz w:val="22"/>
          <w:szCs w:val="22"/>
        </w:rPr>
        <w:t xml:space="preserve">Response:</w:t>
      </w:r>
    </w:p>
    <w:p>
      <w:pPr>
        <w:spacing w:after="240"/>
      </w:pPr>
      <w:r>
        <w:rPr>
          <w:sz w:val="22"/>
          <w:szCs w:val="22"/>
        </w:rPr>
        <w:t xml:space="preserve">We are committed to equitable AI performance across patient populations. Current measures include: diverse training data representation, subgroup performance monitoring, and partnership with community health centers for deployment feedback. We acknowledge current limitations in training data diversity for certain populations and are actively working to expand representation through data partnerships with Canadian healthcare organizations.</w:t>
      </w:r>
    </w:p>
    <w:p>
      <w:pPr>
        <w:pStyle w:val="Heading1"/>
      </w:pPr>
      <w:r>
        <w:t xml:space="preserve">Section 8: Regulatory Compliance</w:t>
      </w:r>
    </w:p>
    <w:p>
      <w:pPr>
        <w:spacing w:before="280" w:after="80"/>
      </w:pPr>
      <w:r>
        <w:rPr>
          <w:b/>
          <w:bCs/>
          <w:sz w:val="24"/>
          <w:szCs w:val="24"/>
        </w:rPr>
        <w:t xml:space="preserve">Question 8.1</w:t>
      </w:r>
    </w:p>
    <w:p>
      <w:pPr>
        <w:spacing w:after="120"/>
      </w:pPr>
      <w:r>
        <w:rPr>
          <w:i/>
          <w:iCs/>
          <w:color w:val="4a5568"/>
          <w:sz w:val="22"/>
          <w:szCs w:val="22"/>
        </w:rPr>
        <w:t xml:space="preserve">What is the medical device classification of DiagnosticAssist?</w:t>
      </w:r>
    </w:p>
    <w:p>
      <w:pPr>
        <w:spacing w:after="60"/>
      </w:pPr>
      <w:r>
        <w:rPr>
          <w:b/>
          <w:bCs/>
          <w:color w:val="2c5282"/>
          <w:sz w:val="22"/>
          <w:szCs w:val="22"/>
        </w:rPr>
        <w:t xml:space="preserve">Response:</w:t>
      </w:r>
    </w:p>
    <w:p>
      <w:pPr>
        <w:spacing w:after="240"/>
      </w:pPr>
      <w:r>
        <w:rPr>
          <w:sz w:val="22"/>
          <w:szCs w:val="22"/>
        </w:rPr>
        <w:t xml:space="preserve">DiagnosticAssist is classified as a Class II medical device under FDA regulations and has received 510(k) clearance (K213456). Our FDA establishment registration number is 3012847562. For Health Canada, we anticipate Class III classification under the Medical Devices Regulations. Our MDL application (submission 367892) is pending review with expected approval in Q2 2026.</w:t>
      </w:r>
    </w:p>
    <w:p>
      <w:pPr>
        <w:spacing w:before="280" w:after="80"/>
      </w:pPr>
      <w:r>
        <w:rPr>
          <w:b/>
          <w:bCs/>
          <w:sz w:val="24"/>
          <w:szCs w:val="24"/>
        </w:rPr>
        <w:t xml:space="preserve">Question 8.2</w:t>
      </w:r>
    </w:p>
    <w:p>
      <w:pPr>
        <w:spacing w:after="120"/>
      </w:pPr>
      <w:r>
        <w:rPr>
          <w:i/>
          <w:iCs/>
          <w:color w:val="4a5568"/>
          <w:sz w:val="22"/>
          <w:szCs w:val="22"/>
        </w:rPr>
        <w:t xml:space="preserve">Is DiagnosticAssist compliant with HIPAA Security and Privacy Rules?</w:t>
      </w:r>
    </w:p>
    <w:p>
      <w:pPr>
        <w:spacing w:after="60"/>
      </w:pPr>
      <w:r>
        <w:rPr>
          <w:b/>
          <w:bCs/>
          <w:color w:val="2c5282"/>
          <w:sz w:val="22"/>
          <w:szCs w:val="22"/>
        </w:rPr>
        <w:t xml:space="preserve">Response:</w:t>
      </w:r>
    </w:p>
    <w:p>
      <w:pPr>
        <w:spacing w:after="240"/>
      </w:pPr>
      <w:r>
        <w:rPr>
          <w:sz w:val="22"/>
          <w:szCs w:val="22"/>
        </w:rPr>
        <w:t xml:space="preserve">DiagnosticAssist has been designed and implemented with HIPAA compliance requirements in mind. We conducted an internal HIPAA readiness assessment in 2024 which identified minor administrative and technical gaps that have since been addressed. A third-party HIPAA compliance assessment is planned for Q3 2026. We execute Business Associate Agreements with all customers processing US patient data.</w:t>
      </w:r>
    </w:p>
    <w:p>
      <w:pPr>
        <w:spacing w:before="280" w:after="80"/>
      </w:pPr>
      <w:r>
        <w:rPr>
          <w:b/>
          <w:bCs/>
          <w:sz w:val="24"/>
          <w:szCs w:val="24"/>
        </w:rPr>
        <w:t xml:space="preserve">Question 8.3</w:t>
      </w:r>
    </w:p>
    <w:p>
      <w:pPr>
        <w:spacing w:after="120"/>
      </w:pPr>
      <w:r>
        <w:rPr>
          <w:i/>
          <w:iCs/>
          <w:color w:val="4a5568"/>
          <w:sz w:val="22"/>
          <w:szCs w:val="22"/>
        </w:rPr>
        <w:t xml:space="preserve">Does TestVendor AI maintain a quality management system compliant with ISO 13485?</w:t>
      </w:r>
    </w:p>
    <w:p>
      <w:pPr>
        <w:spacing w:after="60"/>
      </w:pPr>
      <w:r>
        <w:rPr>
          <w:b/>
          <w:bCs/>
          <w:color w:val="2c5282"/>
          <w:sz w:val="22"/>
          <w:szCs w:val="22"/>
        </w:rPr>
        <w:t xml:space="preserve">Response:</w:t>
      </w:r>
    </w:p>
    <w:p>
      <w:pPr>
        <w:spacing w:after="240"/>
      </w:pPr>
      <w:r>
        <w:rPr>
          <w:sz w:val="22"/>
          <w:szCs w:val="22"/>
        </w:rPr>
        <w:t xml:space="preserve">TestVendor AI is implementing a Quality Management System aligned with ISO 13485 requirements. Key elements are in place including design controls, document management, CAPA processes, and supplier management. We are targeting ISO 13485 certification by Q4 2026. Our QMS covers the design, development, and support of DiagnosticAssist. Current quality processes are documented in our Quality Manual available upon request.</w:t>
      </w:r>
    </w:p>
    <w:p>
      <w:pPr>
        <w:spacing w:before="280" w:after="80"/>
      </w:pPr>
      <w:r>
        <w:rPr>
          <w:b/>
          <w:bCs/>
          <w:sz w:val="24"/>
          <w:szCs w:val="24"/>
        </w:rPr>
        <w:t xml:space="preserve">Question 8.4</w:t>
      </w:r>
    </w:p>
    <w:p>
      <w:pPr>
        <w:spacing w:after="120"/>
      </w:pPr>
      <w:r>
        <w:rPr>
          <w:i/>
          <w:iCs/>
          <w:color w:val="4a5568"/>
          <w:sz w:val="22"/>
          <w:szCs w:val="22"/>
        </w:rPr>
        <w:t xml:space="preserve">Are there any outstanding regulatory actions, warning letters, recalls, or compliance issues?</w:t>
      </w:r>
    </w:p>
    <w:p>
      <w:pPr>
        <w:spacing w:after="60"/>
      </w:pPr>
      <w:r>
        <w:rPr>
          <w:b/>
          <w:bCs/>
          <w:color w:val="2c5282"/>
          <w:sz w:val="22"/>
          <w:szCs w:val="22"/>
        </w:rPr>
        <w:t xml:space="preserve">Response:</w:t>
      </w:r>
    </w:p>
    <w:p>
      <w:pPr>
        <w:spacing w:after="240"/>
      </w:pPr>
      <w:r>
        <w:rPr>
          <w:sz w:val="22"/>
          <w:szCs w:val="22"/>
        </w:rPr>
        <w:t xml:space="preserve">TestVendor AI has no outstanding regulatory actions, warning letters, or recalls. DiagnosticAssist has not been subject to any adverse event reports in the FDA MAUDE database or Health Canada recall notices. We maintain a vigilance program to monitor for and report any safety issues in accordance with regulatory requirements.</w:t>
      </w:r>
    </w:p>
    <w:p>
      <w:pPr>
        <w:pStyle w:val="Heading1"/>
      </w:pPr>
      <w:r>
        <w:t xml:space="preserve">Section 9: Operational Excellence</w:t>
      </w:r>
    </w:p>
    <w:p>
      <w:pPr>
        <w:spacing w:before="280" w:after="80"/>
      </w:pPr>
      <w:r>
        <w:rPr>
          <w:b/>
          <w:bCs/>
          <w:sz w:val="24"/>
          <w:szCs w:val="24"/>
        </w:rPr>
        <w:t xml:space="preserve">Question 9.1</w:t>
      </w:r>
    </w:p>
    <w:p>
      <w:pPr>
        <w:spacing w:after="120"/>
      </w:pPr>
      <w:r>
        <w:rPr>
          <w:i/>
          <w:iCs/>
          <w:color w:val="4a5568"/>
          <w:sz w:val="22"/>
          <w:szCs w:val="22"/>
        </w:rPr>
        <w:t xml:space="preserve">Describe the typical implementation timeline and resource requirements.</w:t>
      </w:r>
    </w:p>
    <w:p>
      <w:pPr>
        <w:spacing w:after="60"/>
      </w:pPr>
      <w:r>
        <w:rPr>
          <w:b/>
          <w:bCs/>
          <w:color w:val="2c5282"/>
          <w:sz w:val="22"/>
          <w:szCs w:val="22"/>
        </w:rPr>
        <w:t xml:space="preserve">Response:</w:t>
      </w:r>
    </w:p>
    <w:p>
      <w:pPr>
        <w:spacing w:after="240"/>
      </w:pPr>
      <w:r>
        <w:rPr>
          <w:sz w:val="22"/>
          <w:szCs w:val="22"/>
        </w:rPr>
        <w:t xml:space="preserve">Typical on-premises implementation timeline is 8-12 weeks including: site assessment (2 weeks), installation and configuration (3 weeks), PACS integration and testing (3-4 weeks), and go-live support (2 weeks). TestVendor AI provides a dedicated implementation project manager and technical engineers throughout the deployment. Remote support is standard; on-site support is available at additional cost.</w:t>
      </w:r>
    </w:p>
    <w:p>
      <w:pPr>
        <w:spacing w:before="280" w:after="80"/>
      </w:pPr>
      <w:r>
        <w:rPr>
          <w:b/>
          <w:bCs/>
          <w:sz w:val="24"/>
          <w:szCs w:val="24"/>
        </w:rPr>
        <w:t xml:space="preserve">Question 9.2</w:t>
      </w:r>
    </w:p>
    <w:p>
      <w:pPr>
        <w:spacing w:after="120"/>
      </w:pPr>
      <w:r>
        <w:rPr>
          <w:i/>
          <w:iCs/>
          <w:color w:val="4a5568"/>
          <w:sz w:val="22"/>
          <w:szCs w:val="22"/>
        </w:rPr>
        <w:t xml:space="preserve">What training is provided for radiologists, IT staff, and administrators?</w:t>
      </w:r>
    </w:p>
    <w:p>
      <w:pPr>
        <w:spacing w:after="60"/>
      </w:pPr>
      <w:r>
        <w:rPr>
          <w:b/>
          <w:bCs/>
          <w:color w:val="2c5282"/>
          <w:sz w:val="22"/>
          <w:szCs w:val="22"/>
        </w:rPr>
        <w:t xml:space="preserve">Response:</w:t>
      </w:r>
    </w:p>
    <w:p>
      <w:pPr>
        <w:spacing w:after="240"/>
      </w:pPr>
      <w:r>
        <w:rPr>
          <w:sz w:val="22"/>
          <w:szCs w:val="22"/>
        </w:rPr>
        <w:t xml:space="preserve">We provide comprehensive training for all user roles. Radiologist training (2 hours) covers AI interpretation, workflow integration, and override procedures. IT administrator training (4 hours) covers system configuration, monitoring, and troubleshooting. Training is delivered via web-based sessions with recorded modules for reference. Annual refresher training is recommended but not required. Documentation is available through our customer portal.</w:t>
      </w:r>
    </w:p>
    <w:p>
      <w:pPr>
        <w:spacing w:before="280" w:after="80"/>
      </w:pPr>
      <w:r>
        <w:rPr>
          <w:b/>
          <w:bCs/>
          <w:sz w:val="24"/>
          <w:szCs w:val="24"/>
        </w:rPr>
        <w:t xml:space="preserve">Question 9.3</w:t>
      </w:r>
    </w:p>
    <w:p>
      <w:pPr>
        <w:spacing w:after="120"/>
      </w:pPr>
      <w:r>
        <w:rPr>
          <w:i/>
          <w:iCs/>
          <w:color w:val="4a5568"/>
          <w:sz w:val="22"/>
          <w:szCs w:val="22"/>
        </w:rPr>
        <w:t xml:space="preserve">What is the change management process for software updates?</w:t>
      </w:r>
    </w:p>
    <w:p>
      <w:pPr>
        <w:spacing w:after="60"/>
      </w:pPr>
      <w:r>
        <w:rPr>
          <w:b/>
          <w:bCs/>
          <w:color w:val="2c5282"/>
          <w:sz w:val="22"/>
          <w:szCs w:val="22"/>
        </w:rPr>
        <w:t xml:space="preserve">Response:</w:t>
      </w:r>
    </w:p>
    <w:p>
      <w:pPr>
        <w:spacing w:after="240"/>
      </w:pPr>
      <w:r>
        <w:rPr>
          <w:sz w:val="22"/>
          <w:szCs w:val="22"/>
        </w:rPr>
        <w:t xml:space="preserve">Software updates are released quarterly with security patches as needed. Customers receive 30 days advance notice of scheduled updates via email notification. Release notes detail new features, bug fixes, and any breaking changes. Major version upgrades requiring workflow changes are announced 90 days in advance. Customers can schedule update windows within a 2-week deployment period.</w:t>
      </w:r>
    </w:p>
    <w:p>
      <w:pPr>
        <w:pStyle w:val="Heading1"/>
      </w:pPr>
      <w:r>
        <w:t xml:space="preserve">Section 10: Sustainability</w:t>
      </w:r>
    </w:p>
    <w:p>
      <w:pPr>
        <w:spacing w:before="280" w:after="80"/>
      </w:pPr>
      <w:r>
        <w:rPr>
          <w:b/>
          <w:bCs/>
          <w:sz w:val="24"/>
          <w:szCs w:val="24"/>
        </w:rPr>
        <w:t xml:space="preserve">Question 10.1</w:t>
      </w:r>
    </w:p>
    <w:p>
      <w:pPr>
        <w:spacing w:after="120"/>
      </w:pPr>
      <w:r>
        <w:rPr>
          <w:i/>
          <w:iCs/>
          <w:color w:val="4a5568"/>
          <w:sz w:val="22"/>
          <w:szCs w:val="22"/>
        </w:rPr>
        <w:t xml:space="preserve">Provide your business continuity and disaster recovery plan.</w:t>
      </w:r>
    </w:p>
    <w:p>
      <w:pPr>
        <w:spacing w:after="60"/>
      </w:pPr>
      <w:r>
        <w:rPr>
          <w:b/>
          <w:bCs/>
          <w:color w:val="2c5282"/>
          <w:sz w:val="22"/>
          <w:szCs w:val="22"/>
        </w:rPr>
        <w:t xml:space="preserve">Response:</w:t>
      </w:r>
    </w:p>
    <w:p>
      <w:pPr>
        <w:spacing w:after="240"/>
      </w:pPr>
      <w:r>
        <w:rPr>
          <w:sz w:val="22"/>
          <w:szCs w:val="22"/>
        </w:rPr>
        <w:t xml:space="preserve">Our Business Continuity Plan includes defined RTO of 24 hours and RPO of 4 hours for production systems. Data is backed up daily to geographically separated facilities. Annual BC/DR testing validates recovery procedures. For on-premises customers, we provide guidance for incorporating DiagnosticAssist into their BC/DR plans but recovery is ultimately the customer's responsibility for on-prem deployments.</w:t>
      </w:r>
    </w:p>
    <w:p>
      <w:pPr>
        <w:spacing w:before="280" w:after="80"/>
      </w:pPr>
      <w:r>
        <w:rPr>
          <w:b/>
          <w:bCs/>
          <w:sz w:val="24"/>
          <w:szCs w:val="24"/>
        </w:rPr>
        <w:t xml:space="preserve">Question 10.2</w:t>
      </w:r>
    </w:p>
    <w:p>
      <w:pPr>
        <w:spacing w:after="120"/>
      </w:pPr>
      <w:r>
        <w:rPr>
          <w:i/>
          <w:iCs/>
          <w:color w:val="4a5568"/>
          <w:sz w:val="22"/>
          <w:szCs w:val="22"/>
        </w:rPr>
        <w:t xml:space="preserve">What is your data portability and exit strategy?</w:t>
      </w:r>
    </w:p>
    <w:p>
      <w:pPr>
        <w:spacing w:after="60"/>
      </w:pPr>
      <w:r>
        <w:rPr>
          <w:b/>
          <w:bCs/>
          <w:color w:val="2c5282"/>
          <w:sz w:val="22"/>
          <w:szCs w:val="22"/>
        </w:rPr>
        <w:t xml:space="preserve">Response:</w:t>
      </w:r>
    </w:p>
    <w:p>
      <w:pPr>
        <w:spacing w:after="240"/>
      </w:pPr>
      <w:r>
        <w:rPr>
          <w:sz w:val="22"/>
          <w:szCs w:val="22"/>
        </w:rPr>
        <w:t xml:space="preserve">Customer data can be exported in standard formats upon contract termination. Imaging data exports are provided in DICOM format. AI analysis results can be exported as HL7 ORU messages or FHIR DiagnosticReport resources. Export processing requires approximately 30 business days depending on data volume. A data export fee may apply for large datasets exceeding 100,000 studies.</w:t>
      </w:r>
    </w:p>
    <w:p>
      <w:pPr>
        <w:spacing w:before="280" w:after="80"/>
      </w:pPr>
      <w:r>
        <w:rPr>
          <w:b/>
          <w:bCs/>
          <w:sz w:val="24"/>
          <w:szCs w:val="24"/>
        </w:rPr>
        <w:t xml:space="preserve">Question 10.3</w:t>
      </w:r>
    </w:p>
    <w:p>
      <w:pPr>
        <w:spacing w:after="120"/>
      </w:pPr>
      <w:r>
        <w:rPr>
          <w:i/>
          <w:iCs/>
          <w:color w:val="4a5568"/>
          <w:sz w:val="22"/>
          <w:szCs w:val="22"/>
        </w:rPr>
        <w:t xml:space="preserve">What is the anticipated product lifecycle and roadmap for DiagnosticAssist?</w:t>
      </w:r>
    </w:p>
    <w:p>
      <w:pPr>
        <w:spacing w:after="60"/>
      </w:pPr>
      <w:r>
        <w:rPr>
          <w:b/>
          <w:bCs/>
          <w:color w:val="2c5282"/>
          <w:sz w:val="22"/>
          <w:szCs w:val="22"/>
        </w:rPr>
        <w:t xml:space="preserve">Response:</w:t>
      </w:r>
    </w:p>
    <w:p>
      <w:pPr>
        <w:spacing w:after="240"/>
      </w:pPr>
      <w:r>
        <w:rPr>
          <w:sz w:val="22"/>
          <w:szCs w:val="22"/>
        </w:rPr>
        <w:t xml:space="preserve">DiagnosticAssist roadmap includes: expanded pathology detection capabilities (Q2 2026), integration with major EMR platforms (Q3 2026), and multi-modality support for MRI (Q4 2026). We are committed to ongoing product investment and innovation. Roadmap priorities are informed by customer advisory board input. Long-term product viability is contingent on successful Series B funding round planned for H1 2026.</w:t>
      </w:r>
    </w:p>
    <w:p>
      <w:pPr>
        <w:spacing w:before="600"/>
      </w:pPr>
    </w:p>
    <w:p>
      <w:pPr>
        <w:jc w:val="center"/>
      </w:pPr>
      <w:r>
        <w:rPr>
          <w:i/>
          <w:iCs/>
          <w:color w:val="666666"/>
          <w:sz w:val="20"/>
          <w:szCs w:val="20"/>
        </w:rPr>
        <w:t xml:space="preserve">Generated by Guardian AI Vendor Assessment System</w:t>
      </w:r>
    </w:p>
    <w:p>
      <w:pPr>
        <w:jc w:val="center"/>
      </w:pPr>
      <w:r>
        <w:rPr>
          <w:i/>
          <w:iCs/>
          <w:color w:val="666666"/>
          <w:sz w:val="20"/>
          <w:szCs w:val="20"/>
        </w:rPr>
        <w:t xml:space="preserve">© 2025 - Confidential Assessment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365d"/>
      <w:sz w:val="32"/>
      <w:szCs w:val="32"/>
    </w:rPr>
  </w:style>
  <w:style w:type="paragraph" w:styleId="Heading2">
    <w:name w:val="Heading 2"/>
    <w:basedOn w:val="Normal"/>
    <w:next w:val="Normal"/>
    <w:qFormat/>
    <w:pPr>
      <w:spacing w:before="280" w:after="160"/>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2026-01-06T13:15:21.604Z</dcterms:created>
  <dcterms:modified xsi:type="dcterms:W3CDTF">2026-01-06T13:15:21.605Z</dcterms:modified>
</cp:coreProperties>
</file>

<file path=docProps/custom.xml><?xml version="1.0" encoding="utf-8"?>
<Properties xmlns="http://schemas.openxmlformats.org/officeDocument/2006/custom-properties" xmlns:vt="http://schemas.openxmlformats.org/officeDocument/2006/docPropsVTypes"/>
</file>