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Утвержден</w:t>
      </w: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Комитетом кредиторов </w:t>
      </w: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</w:t>
      </w: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Протокол №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«</w:t>
      </w:r>
      <w:r>
        <w:rPr>
          <w:rFonts w:ascii="Times New Roman" w:hAnsi="Times New Roman"/>
          <w:sz w:val="24"/>
          <w:szCs w:val="24"/>
          <w:rtl w:val="0"/>
          <w:lang w:val="ru-RU"/>
        </w:rPr>
        <w:t>____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 20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Председатель комитета кредиторов</w:t>
      </w: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</w:t>
      </w: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_____________________/_____________/</w:t>
      </w: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60" w:after="60" w:line="240" w:lineRule="auto"/>
        <w:ind w:left="467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60" w:after="6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uppressAutoHyphens w:val="1"/>
        <w:spacing w:before="60" w:after="6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РЕГЛАМЕНТ</w:t>
      </w:r>
    </w:p>
    <w:p>
      <w:pPr>
        <w:pStyle w:val="Normal.0"/>
        <w:suppressAutoHyphens w:val="1"/>
        <w:spacing w:before="60" w:after="6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 КОМИТЕТА КРЕДИТОРОВ</w:t>
      </w:r>
    </w:p>
    <w:p>
      <w:pPr>
        <w:pStyle w:val="Normal.0"/>
        <w:suppressAutoHyphens w:val="1"/>
        <w:spacing w:before="60" w:after="60" w:line="240" w:lineRule="auto"/>
        <w:jc w:val="center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_______________________________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numPr>
          <w:ilvl w:val="0"/>
          <w:numId w:val="2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Комитет кредиторов ЛИЦА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Комитет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руководствуется в своей деятельности Федеральным законом «О несостоятельности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 №</w:t>
      </w:r>
      <w:r>
        <w:rPr>
          <w:rFonts w:ascii="Times New Roman" w:hAnsi="Times New Roman"/>
          <w:sz w:val="24"/>
          <w:szCs w:val="24"/>
          <w:rtl w:val="0"/>
          <w:lang w:val="ru-RU"/>
        </w:rPr>
        <w:t>127-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ФЗ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>26.10.2002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по тексту – Закон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иными нормативными правовыми актами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решениями собрания кредиторов и настоящим Регламентом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противоречия настоящего Регламента положениям Закона о банкротстве или иным нормативным актам Российской Федерации применяются положения Закона о банкротстве или нормативные акты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Настоящий регламент определяет порядок работы и принятия решений Комитетом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права и обязанности Председателя и членов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Работа Комитета кредиторов осуществляется на заочных заседаниях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проводимых в электронной форме с использованием облачного сервиса «Электронные комитеты кредиторов»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Сервис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единой системы по ведению процедур банкротства </w:t>
      </w:r>
      <w:r>
        <w:rPr>
          <w:rFonts w:ascii="Times New Roman" w:hAnsi="Times New Roman"/>
          <w:sz w:val="24"/>
          <w:szCs w:val="24"/>
          <w:rtl w:val="0"/>
          <w:lang w:val="en-US"/>
        </w:rPr>
        <w:t>Bankro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TECH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далее – система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Bankro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TECH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Сервис размещен в информационно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коммуникационной сети Интернет по адресу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lang w:val="en-US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lang w:val="en-US"/>
        </w:rPr>
        <w:instrText xml:space="preserve"> HYPERLINK "http://www.meetings.bankro.tech"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lang w:val="en-US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www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meetings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bankro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tech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2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Цели Комитета кредиторов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Комитет кредиторов представляет законные интересы конкурсных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уполномоченных органов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осуществляет контроль в отношении действий арбитражного управляющего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реализует иные предоставленные собранием кредиторов полномочия в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предусмотренном Законом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Состав комитета кредиторов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Количественный состав Комитета кредиторов определен собранием кредиторов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ДД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ГГГГ года №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в количестве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членов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Комитет кредиторов избран собранием кредиторов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ДД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ГГГГ года №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составе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…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Список членов Комитета кредиторов с указанием номеров телефонов и адресов электронной почты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подлежащих использованию для целей уведомления членов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подключения к системе </w:t>
      </w:r>
      <w:r>
        <w:rPr>
          <w:rFonts w:ascii="Times New Roman" w:hAnsi="Times New Roman"/>
          <w:sz w:val="24"/>
          <w:szCs w:val="24"/>
          <w:rtl w:val="0"/>
          <w:lang w:val="en-US"/>
        </w:rPr>
        <w:t>Bankro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TECH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идентификации в 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 в Приложении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подлежит подписанию каждым членом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Компетенция Комитета кредиторов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Комитет кредиторов для осуществления возложенных на него функций вправе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требовать от арбитражного управляющего или руководителя должника предоставить информацию о финансовом состоянии должника и о ходе процедур банкротства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принимать решения об одобрении сделок Конкурсного управляющего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совершении которых имеется заинтересованность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129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определить лицо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которое с его согласия возлагается обязанность по оплате услуг оценщика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последующей внеочередной компенсацией произведенных им расходов за счет имущества должника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.130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запрашивать у конкурсного управляющего отчет об использовании денежных средств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133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утверждать предложения о продаже имущества должника в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предусмотренном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139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ФЗ № </w:t>
      </w:r>
      <w:r>
        <w:rPr>
          <w:rFonts w:ascii="Times New Roman" w:hAnsi="Times New Roman"/>
          <w:sz w:val="24"/>
          <w:szCs w:val="24"/>
          <w:rtl w:val="0"/>
          <w:lang w:val="ru-RU"/>
        </w:rPr>
        <w:t>127-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ФЗ «О несостоятельности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принимать решения об изменении порядка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сроках и условий продажи имущества должника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139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принимать решения об уступке прав требований должника путем их продажи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принимать соглашение об отступном при погашении требований кредиторов в ходе конкурсного производства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142.1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запрашивать у конкурсного управляющего отчет о его деятельности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информацию о финансовом состоянии должника и его имуществе на момент открытия конкурсного производства и в ходе конкурсного производства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иную информацию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143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ходатайствовать перед арбитражным судом об отстранении конкурсного управляющего от исполнения своих обязанностей в случае неисполнения или ненадлежащего исполнения конкурсным управляющим своих обязанностей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145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обжаловать в арбитражный суд действия арбитражного управляющего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принимать решения о созыве собрания кредиторов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принимать решения об обращении к собранию кредиторов с рекомендацией об отстранении арбитражного управляющего от исполнения своих обязанностей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Закона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принимать другие 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совершать иные действия в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установленном Законом о банкротстве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отнесенные к исключительной компетенции собрания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uppressAutoHyphens w:val="1"/>
        <w:spacing w:before="60" w:after="6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полномочия Комитета кредиторов входит принятие всех решений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исключением решений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отнесенных Законом о банкротстве к исключительной компетенции собрания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Комитет кредиторов для реализации своих полномочий вправе избрать своего председателя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Такое решение оформляется протоколом заседания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избрания Комитета кредиторов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Комитет кредиторов избирается собранием кредиторов из числа физических лиц по предложению конкурсных кредиторов и уполномоченных органов на период проведения наблюдения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финансового оздоровления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внешнего управления и конкурсного производства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suppressAutoHyphens w:val="1"/>
        <w:spacing w:before="60" w:after="6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решению собрания кредиторов полномочия Комитета кредиторов могут быть прекращены досрочно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suppressAutoHyphens w:val="1"/>
        <w:spacing w:before="60" w:after="6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Членами Комитета кредиторов могут быть лица как состоящие в трудовых отношениях с конкурсным кредитором или уполномоченным органом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и не состоящие в трудовых отношениях с указанными лицами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ConsPlusNormal"/>
        <w:suppressAutoHyphens w:val="1"/>
        <w:spacing w:before="60" w:after="6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Количественный состав Комитета кредиторов определяется собранием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не может быть менее чем три человека и более чем одиннадцать человек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Выборы Комитета кредиторов осуществляются кумулятивным голосованием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suppressAutoHyphens w:val="1"/>
        <w:spacing w:before="60" w:after="6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избрании Комитета кредиторов каждый конкурсный кредитор и каждый уполномоченный орган обладают числом голосов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равным размеру его требования в рублях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умноженному на число членов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Конкурсный кредитор и уполномоченный орган вправе отдать принадлежащие каждому из них голоса за одного кандидата или распределить их между несколькими кандидатами в члены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suppressAutoHyphens w:val="1"/>
        <w:spacing w:before="60" w:after="6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Избранными в состав Комитета кредиторов считаются кандидаты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набравшие наибольшее число голосов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Члены Комитета кредиторов избирают из своего состава председателя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созыва и проведения заочного заседания Комитета кредиторов в электронной форме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Заседания Комитета кредиторов проводятся по мере возникновения необходимости в решении вопросов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относящихся к компетенции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Инициировать заседание Комитета кредиторов вправе арбитражный управляющий либо председатель Комитета кредиторов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также – Инициатор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Арбитражный управляющий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 решением собрания кредиторов обязан не реже чем один раз в три месяца созывать заседание Комитета кредиторов для представления отчета о ходе процедуры банкротства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инициирования проведения Комитета кредиторов Инициатор регистрируется в Сервисе по адресу </w: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instrText xml:space="preserve"> HYPERLINK "http://www.meetings.bankro.tech"</w:instrTex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www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meetings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bankro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tech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авторизуется посредством простой электронной подписи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подтверждение по СМС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Федерального закона № ФЗ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-63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«Об электронной подписи»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Сервисе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регистрации и авторизации Инициатор создает электронный Комитет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где указывает дату и время начала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дату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время окончания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 указывается промежуток времени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который максимальное количество членов Комитета кредиторов сможет проголосовать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не менее одного часа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Инициатор заполняет информационный блок «Должник»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указывая номер дела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сведения об арбитражном суде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ОГРН и наименовании должника и его адрес системой вносятся автоматически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После внесения вышеуказанной информации Инициатор заполняет информацию о вопросах Повестки с выбором бюллетеней из двух возможных типов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Бюллетень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тип бюллетеня для голосования с однозначным ответом «За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Против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Воздержался»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Бюллетень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тип бюллетеня для голосования по вопросам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предполагающим несколько смысловых ответов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ответы «Против всех вариантов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Воздержался»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прилагает к вопросам или загружает в разделе «Материалы» документы к Комитету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Членами комитета кредиторов до начала Комитета кредиторов могут быть вынесены на рассмотрение в повестку дополнительные вопросы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члены Комитета кредиторов могут добавлять свои комментарии и документы по каждому вопросу повестки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будут доступны для просмотра всем участникам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Любые изменения и дополнения к документам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вопросам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подлежащим рассмотрению Комитетом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допускаются не менее чем за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 до начала голосования в соответствии с ограничениями Сервиса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Инициатор по своей инициативе или в трехдневный срок по требованию члена Комитета кредиторов уведомляет членов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избранных собранием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созыва Комитета кредиторов председателем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арбитражного управляющего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путем отправки сообщения в Сервисе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уведомление по электронной почте и в разделе «Участники» через кнопку «Пригласить» напротив каждого члена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менее чем за </w:t>
      </w:r>
      <w:r>
        <w:rPr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 до даты проведения заседания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инициатор публикует сообщение о заседании Комитета кредиторов в установленном законодательством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Голосование по вопросам повестки Комитета кредиторов производится в установленное Инициатором время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член Комитета кредиторов проходит регистрацию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первом участии в Комитет кредиторов посредством Сервиса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авторизацию посредством простой электронной подписи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подтверждение по СМС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Сервисе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регистрации и авторизации член Комитета кредиторов приступает к голосованию по каждому вопросу повестки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Голосование производится посредством выбора варианта ответа по каждому вопросу повестки и отправки результатов голосования нажатием кнопки «Отправить результат»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 условиями Сервиса по идентификации и аутентификации членов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настоящим Регламентом и приложениями к нему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голосование в Сервисе квалифицируется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волеизъявление члена комитета кредиторов в электронной форме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скрепленное простой электронной подписью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отправки результатов голосования редактирование и изменение ответов по всем вопросам повестки НЕВОЗМОЖНО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завершения голосования и отправки результатов голосования в Сервисе всеми участниками голосования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заседание Комитета кредиторов считается завершенным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независимо от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какое максимальное время для голосования было установлено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результатам голосования Инициатором в разделе «Материалы» инициируется формирование протокола заседания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формируется Сервисом автоматически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проверяется и при необходимости корректируется Инициатором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сохраняется в Сервисе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распечатывается и подписывается арбитражным управляющим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его отсутствия председателем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представления в арбитражный суд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протокол автоматически включаются все результаты голосования по вопросам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внесенные участниками с Сервисе комментарии к рассматриваемым вопросам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suppressAutoHyphens w:val="1"/>
        <w:spacing w:before="60" w:after="60" w:line="240" w:lineRule="auto"/>
        <w:ind w:left="0" w:firstLine="284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 ограничениями Сервиса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истечении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10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Десяти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дней со дня окончания заседания Комитета кредиторов протокол сохраняется в окончательном виде и недоступен для дальнейшего редактирования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Протокол заседания Комитета кредиторов распечатывается и подписывается Инициатором из Сервиса в двух экземплярах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один из которых в </w:t>
      </w:r>
      <w:r>
        <w:rPr>
          <w:rFonts w:ascii="Times New Roman" w:hAnsi="Times New Roman"/>
          <w:sz w:val="24"/>
          <w:szCs w:val="24"/>
          <w:rtl w:val="0"/>
          <w:lang w:val="ru-RU"/>
        </w:rPr>
        <w:t>5-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дневный срок направляется в арбитражный суд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второй хранится у арбитражного управляющего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его отсутствия у председателя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заседание Комитета кредиторов проводилось не арбитражным управляющим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Инициатором распечатывается и подписывается дополнительный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третий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экземпляр протокола заседания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направляется арбитражному управляющему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завершения заочного заседания Комитета кредиторов и формирования пакета документов по его результатам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заседания Комитета кредиторов и материалы доступны членам Комитета кредиторов и Инициатору в Сервисе для ознакомления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uppressAutoHyphens w:val="1"/>
        <w:spacing w:before="60" w:after="60" w:line="240" w:lineRule="auto"/>
        <w:ind w:left="284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принятия решений Комитетом кредиторов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решении вопросов Комитетом кредиторов каждый член Комитета кредиторов обладает одним голосом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Передача права голоса членом Комитета кредиторов иному лицу не допускается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Член Комитета кредиторов не вправе выдавать доверенность представителю для голосования на заседаниях Комитета кредиторов и для принятия иных решений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входящих в компетенцию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принятие решения по всем вопросам повестки дня членам Комитета кредиторов выделяется необходимое время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устанавливается Инициатором при созыве Комитета кредиторов в Сервисе и отображается на странице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Подсчет результатов голосования проводится автоматически Сервисом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окончательные результаты проверяются Инициатором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suppressAutoHyphens w:val="1"/>
        <w:bidi w:val="0"/>
        <w:spacing w:before="60" w:after="6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Решения Комитета кредиторов принимаются большинством голосов от общего количества членов Комитета кредиторов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suppressAutoHyphens w:val="1"/>
        <w:spacing w:before="60" w:after="6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suppressAutoHyphens w:val="1"/>
        <w:spacing w:before="60" w:after="6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suppressAutoHyphens w:val="1"/>
        <w:spacing w:before="60" w:after="6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suppressAutoHyphens w:val="1"/>
        <w:spacing w:before="60" w:after="6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60" w:after="6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Конкурсный управляющий </w:t>
      </w:r>
    </w:p>
    <w:p>
      <w:pPr>
        <w:pStyle w:val="Normal.0"/>
        <w:suppressAutoHyphens w:val="1"/>
        <w:spacing w:before="60" w:after="6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</w:t>
      </w:r>
    </w:p>
    <w:p>
      <w:pPr>
        <w:pStyle w:val="Normal.0"/>
        <w:suppressAutoHyphens w:val="1"/>
        <w:spacing w:before="60" w:after="60" w:line="240" w:lineRule="auto"/>
        <w:ind w:firstLine="142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pStyle w:val="Normal.0"/>
        <w:suppressAutoHyphens w:val="1"/>
        <w:spacing w:before="60" w:after="60" w:line="240" w:lineRule="auto"/>
        <w:ind w:firstLine="142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Приложение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 Регламенту работы </w:t>
      </w:r>
    </w:p>
    <w:p>
      <w:pPr>
        <w:pStyle w:val="Normal.0"/>
        <w:suppressAutoHyphens w:val="1"/>
        <w:spacing w:before="60" w:after="60" w:line="240" w:lineRule="auto"/>
        <w:ind w:firstLine="142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комитета кредиторов от ДД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ГГГГ</w:t>
      </w:r>
    </w:p>
    <w:p>
      <w:pPr>
        <w:pStyle w:val="Normal.0"/>
        <w:suppressAutoHyphens w:val="1"/>
        <w:spacing w:before="60" w:after="60" w:line="24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60" w:after="60" w:line="24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60" w:after="60" w:line="24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60" w:after="60" w:line="24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uppressAutoHyphens w:val="1"/>
        <w:spacing w:before="60" w:after="60" w:line="24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Список членов комитета кредиторов </w:t>
      </w:r>
    </w:p>
    <w:p>
      <w:pPr>
        <w:pStyle w:val="Normal.0"/>
        <w:suppressAutoHyphens w:val="1"/>
        <w:spacing w:before="60" w:after="60" w:line="24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91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6"/>
        <w:gridCol w:w="3514"/>
        <w:gridCol w:w="1980"/>
        <w:gridCol w:w="1980"/>
        <w:gridCol w:w="1981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60" w:after="6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№ </w:t>
            </w:r>
          </w:p>
        </w:tc>
        <w:tc>
          <w:tcPr>
            <w:tcW w:type="dxa" w:w="3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60" w:after="6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ФИО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Email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60" w:after="6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Телефон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60" w:after="6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Подпись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1.</w:t>
            </w:r>
          </w:p>
        </w:tc>
        <w:tc>
          <w:tcPr>
            <w:tcW w:type="dxa" w:w="3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2.</w:t>
            </w:r>
          </w:p>
        </w:tc>
        <w:tc>
          <w:tcPr>
            <w:tcW w:type="dxa" w:w="3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3.</w:t>
            </w:r>
          </w:p>
        </w:tc>
        <w:tc>
          <w:tcPr>
            <w:tcW w:type="dxa" w:w="3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before="60" w:after="6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…</w:t>
            </w:r>
          </w:p>
        </w:tc>
        <w:tc>
          <w:tcPr>
            <w:tcW w:type="dxa" w:w="3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spacing w:before="60" w:after="60" w:line="240" w:lineRule="auto"/>
        <w:jc w:val="center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1" w:right="851" w:bottom="851" w:left="1134" w:header="567" w:footer="567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643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708"/>
        </w:tabs>
        <w:ind w:left="424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24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24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80" w:hanging="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0" w:hanging="8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-"/>
      <w:lvlJc w:val="left"/>
      <w:pPr>
        <w:ind w:left="64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3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707"/>
          </w:tabs>
          <w:ind w:left="424" w:hanging="1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24" w:hanging="1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24" w:hanging="1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1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1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80" w:hanging="5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80" w:hanging="5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40" w:hanging="8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24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24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80" w:hanging="5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80" w:hanging="5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40" w:hanging="8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Ссылка">
    <w:name w:val="Ссылка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sz w:val="24"/>
      <w:szCs w:val="24"/>
      <w:lang w:val="en-US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ConsPlusNormal">
    <w:name w:val="ConsPlusNormal"/>
    <w:next w:val="ConsPlus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1">
    <w:name w:val="Hyperlink.1"/>
    <w:basedOn w:val="Ссылка"/>
    <w:next w:val="Hyperlink.1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