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8660a20bd443bb" /><Relationship Type="http://schemas.openxmlformats.org/package/2006/relationships/metadata/core-properties" Target="/docProps/core.xml" Id="Re8ec67d44d2b4d54" /><Relationship Type="http://schemas.openxmlformats.org/officeDocument/2006/relationships/extended-properties" Target="/docProps/app.xml" Id="R8cadc9e9075c48e3" /><Relationship Type="http://schemas.openxmlformats.org/officeDocument/2006/relationships/custom-properties" Target="/docProps/custom.xml" Id="R910f8c8570c34eb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>
          <w:sz w:val="72"/>
        </w:rPr>
        <w:t xml:space="preserve"> </w:t>
      </w:r>
    </w:p>
    <w:p w14:paraId="00100002" w14:textId="00100003">
      <w:pPr/>
      <w:r>
        <w:rPr>
          <w:sz w:val="72"/>
        </w:rPr>
        <w:t xml:space="preserve"> </w:t>
      </w:r>
    </w:p>
    <w:p w14:paraId="00100004" w14:textId="00100005">
      <w:pPr/>
      <w:r>
        <w:rPr>
          <w:sz w:val="72"/>
        </w:rPr>
        <w:t xml:space="preserve"> </w:t>
      </w:r>
    </w:p>
    <w:p w14:paraId="00100006" w14:textId="00100007">
      <w:pPr>
        <w:jc w:val="center"/>
      </w:pPr>
      <w:r>
        <w:rPr>
          <w:rFonts w:ascii="Microsoft YaHei" w:hAnsi="Microsoft YaHei" w:eastAsia="Microsoft YaHei"/>
          <w:b/>
          <w:color w:val="1F4E79"/>
          <w:sz w:val="72"/>
        </w:rPr>
        <w:t xml:space="preserve">PM 自动化测试平台</w:t>
      </w:r>
    </w:p>
    <w:p w14:paraId="00100008" w14:textId="00100009">
      <w:pPr>
        <w:spacing w:before="120"/>
        <w:jc w:val="center"/>
      </w:pPr>
      <w:r>
        <w:rPr>
          <w:rFonts w:ascii="Microsoft YaHei" w:hAnsi="Microsoft YaHei" w:eastAsia="Microsoft YaHei"/>
          <w:color w:val="2E75B6"/>
          <w:sz w:val="44"/>
        </w:rPr>
        <w:t xml:space="preserve">介绍与使用手册</w:t>
      </w:r>
    </w:p>
    <w:p w14:paraId="0010000A" w14:textId="0010000B">
      <w:pPr/>
      <w:r>
        <w:rPr>
          <w:sz w:val="28"/>
        </w:rPr>
        <w:t xml:space="preserve"> </w:t>
      </w:r>
    </w:p>
    <w:p w14:paraId="0010000C" w14:textId="0010000F">
      <w:pPr>
        <w:jc w:val="center"/>
      </w:pPr>
      <w:r>
        <w:rPr>
          <w:color w:val="2E75B6"/>
          <w:sz w:val="28"/>
        </w:rPr>
        <w:t xml:space="preserve">━━━━━━━━━━━━━━━━━━━━━━━━</w:t>
      </w:r>
    </w:p>
    <w:p w14:paraId="00100010" w14:textId="00100011">
      <w:pPr/>
      <w:r>
        <w:rPr>
          <w:sz w:val="28"/>
        </w:rPr>
        <w:t xml:space="preserve"> </w:t>
      </w:r>
    </w:p>
    <w:p w14:paraId="00100012" w14:textId="00100013"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 xml:space="preserve">AI 驱动 · 多 Agent 协作 · 全流程自动化</w:t>
      </w:r>
    </w:p>
    <w:p w14:paraId="00100014" w14:textId="00100015">
      <w:pPr/>
      <w:r>
        <w:rPr>
          <w:sz w:val="28"/>
        </w:rPr>
        <w:t xml:space="preserve"> </w:t>
      </w:r>
    </w:p>
    <w:p w14:paraId="00100016" w14:textId="00100017">
      <w:pPr/>
      <w:r>
        <w:rPr>
          <w:sz w:val="28"/>
        </w:rPr>
        <w:t xml:space="preserve"> </w:t>
      </w:r>
    </w:p>
    <w:p w14:paraId="00100018" w14:textId="00100019">
      <w:pPr>
        <w:jc w:val="center"/>
      </w:pPr>
      <w:r>
        <w:rPr>
          <w:color w:val="999999"/>
          <w:sz w:val="24"/>
        </w:rPr>
        <w:t xml:space="preserve">版本 1.0  |  2026 年 6 月</w:t>
      </w:r>
    </w:p>
    <w:p w14:paraId="0010001A" w14:textId="0010001B">
      <w:pPr>
        <w:pageBreakBefore/>
      </w:pPr>
    </w:p>
    <w:p w14:paraId="0010001C" w14:textId="0010001D">
      <w:pPr>
        <w:pStyle w:val="TOCHeading"/>
      </w:pPr>
      <w:r>
        <w:t>目  录</w:t>
      </w:r>
    </w:p>
    <w:p w14:paraId="0010001E" w14:textId="0010001F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6E" w14:textId="0010006F">
      <w:pPr>
        <w:pageBreakBefore/>
      </w:pPr>
      <w:r>
        <w:rPr/>
        <w:t xml:space="preserve"/>
      </w:r>
    </w:p>
    <w:p w14:paraId="00100026" w14:textId="00100027">
      <w:pPr>
        <w:pStyle w:val="Heading1"/>
        <w:pageBreakBefore/>
      </w:pPr>
      <w:r>
        <w:rPr>
          <w:rFonts w:ascii="Microsoft YaHei" w:hAnsi="Microsoft YaHei" w:eastAsia="Microsoft YaHei"/>
          <w:b/>
          <w:color w:val="1F4E79"/>
          <w:sz w:val="44"/>
        </w:rPr>
        <w:t xml:space="preserve">四、七大 Agent 详解</w:t>
      </w:r>
    </w:p>
    <w:p w14:paraId="00100028" w14:textId="00100029">
      <w:pPr/>
      <w:r>
        <w:rPr>
          <w:color w:val="D6E4F0"/>
          <w:sz w:val="16"/>
        </w:rPr>
        <w:t xml:space="preserve">━━━━━━━━━━━━━━━━━━━━━━━━━━━━━━━━━━━━</w:t>
      </w:r>
    </w:p>
    <w:p w14:paraId="0010002A" w14:textId="0010002B">
      <w:pPr/>
      <w:r>
        <w:rPr/>
        <w:t xml:space="preserve"/>
      </w:r>
    </w:p>
    <w:p w14:paraId="0010002C" w14:textId="0010002D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4.1 Analyzer — 环境分析</w:t>
      </w:r>
    </w:p>
    <w:p w14:paraId="0010002E" w14:textId="0010002F">
      <w:pPr/>
      <w:r>
        <w:rPr>
          <w:color w:val="333333"/>
          <w:sz w:val="22"/>
        </w:rPr>
        <w:t xml:space="preserve">职责：只读分析仓库源码，推断技术栈、端口、中间件、凭据信息，写入 environment.json 的 analyzer 段。</w:t>
      </w:r>
    </w:p>
    <w:p w14:paraId="00100030" w14:textId="00100031">
      <w:pPr/>
      <w:r>
        <w:rPr>
          <w:color w:val="333333"/>
          <w:sz w:val="22"/>
        </w:rPr>
        <w:t xml:space="preserve">触发条件：environment.json 中 analyzer.completedAt 缺失时自动启动。</w:t>
      </w:r>
    </w:p>
    <w:p w14:paraId="00100032" w14:textId="00100033">
      <w:pPr/>
      <w:r>
        <w:rPr>
          <w:b/>
          <w:color w:val="333333"/>
          <w:sz w:val="22"/>
        </w:rPr>
        <w:t xml:space="preserve">核心工作：</w:t>
      </w:r>
    </w:p>
    <w:p w14:paraId="00100034" w14:textId="00100035">
      <w:pPr>
        <w:numPr>
          <w:ilvl w:val="0"/>
          <w:numId w:val="1"/>
        </w:numPr>
      </w:pPr>
      <w:r>
        <w:rPr>
          <w:color w:val="333333"/>
          <w:sz w:val="22"/>
        </w:rPr>
        <w:t xml:space="preserve">识别前端框架（Vue / React / Angular）和后端技术（Spring Boot / NestJS / Express）</w:t>
      </w:r>
    </w:p>
    <w:p w14:paraId="00100036" w14:textId="00100037">
      <w:pPr>
        <w:numPr>
          <w:ilvl w:val="0"/>
          <w:numId w:val="1"/>
        </w:numPr>
      </w:pPr>
      <w:r>
        <w:rPr>
          <w:color w:val="333333"/>
          <w:sz w:val="22"/>
        </w:rPr>
        <w:t xml:space="preserve">从配置文件推断服务端口（vite.config / application.yml / .env 等）</w:t>
      </w:r>
    </w:p>
    <w:p w14:paraId="00100038" w14:textId="00100039">
      <w:pPr>
        <w:numPr>
          <w:ilvl w:val="0"/>
          <w:numId w:val="1"/>
        </w:numPr>
      </w:pPr>
      <w:r>
        <w:rPr>
          <w:color w:val="333333"/>
          <w:sz w:val="22"/>
        </w:rPr>
        <w:t xml:space="preserve">提取数据库连接信息和 SQL 初始化脚本</w:t>
      </w:r>
    </w:p>
    <w:p w14:paraId="0010003A" w14:textId="0010003B">
      <w:pPr>
        <w:numPr>
          <w:ilvl w:val="0"/>
          <w:numId w:val="1"/>
        </w:numPr>
      </w:pPr>
      <w:r>
        <w:rPr>
          <w:color w:val="333333"/>
          <w:sz w:val="22"/>
        </w:rPr>
        <w:t xml:space="preserve">读取 track/ 目录中的部署文档，提取构建/启动命令（deploymentDocs 段）</w:t>
      </w:r>
    </w:p>
    <w:p w14:paraId="0010003C" w14:textId="0010003D">
      <w:pPr>
        <w:numPr>
          <w:ilvl w:val="0"/>
          <w:numId w:val="1"/>
        </w:numPr>
      </w:pPr>
      <w:r>
        <w:rPr>
          <w:color w:val="333333"/>
          <w:sz w:val="22"/>
        </w:rPr>
        <w:t xml:space="preserve">（可选）远程探测服务器环境（OS、运行时版本、磁盘空间）</w:t>
      </w:r>
    </w:p>
    <w:p w14:paraId="0010003E" w14:textId="0010003F">
      <w:pPr/>
      <w:r>
        <w:rPr>
          <w:i/>
          <w:color w:val="666666"/>
          <w:sz w:val="22"/>
        </w:rPr>
        <w:t xml:space="preserve">约束：只读分析，不构建、不启动服务、不询问用户构建模式。</w:t>
      </w:r>
    </w:p>
    <w:p w14:paraId="00100040" w14:textId="00100041">
      <w:pPr/>
      <w:r>
        <w:rPr>
          <w:color w:val="333333"/>
          <w:sz w:val="22"/>
        </w:rPr>
        <w:t xml:space="preserve">产出文件：environment.json（analyzer 段）、playwright.config.ts、vitest.config.ts</w:t>
      </w:r>
    </w:p>
    <w:p w14:paraId="00100042" w14:textId="00100043">
      <w:pPr/>
      <w:r>
        <w:rPr/>
        <w:t xml:space="preserve"/>
      </w:r>
    </w:p>
    <w:p w14:paraId="00100044" w14:textId="00100045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4.2 Deployer — 部署验证</w:t>
      </w:r>
    </w:p>
    <w:p w14:paraId="00100046" w14:textId="00100047">
      <w:pPr/>
      <w:r>
        <w:rPr>
          <w:color w:val="333333"/>
          <w:sz w:val="22"/>
        </w:rPr>
        <w:t xml:space="preserve">职责：验证项目的部署能力，而非实际部署。构建命令跑不通即报告 FAIL，不做排查。</w:t>
      </w:r>
    </w:p>
    <w:p w14:paraId="00100048" w14:textId="00100049">
      <w:pPr/>
      <w:r>
        <w:rPr>
          <w:b/>
          <w:color w:val="333333"/>
          <w:sz w:val="22"/>
        </w:rPr>
        <w:t xml:space="preserve">两种构建模式：</w:t>
      </w:r>
    </w:p>
    <w:p w14:paraId="0010004A" w14:textId="0010004B">
      <w:pPr>
        <w:numPr>
          <w:ilvl w:val="0"/>
          <w:numId w:val="2"/>
        </w:numPr>
      </w:pPr>
      <w:r>
        <w:rPr>
          <w:color w:val="333333"/>
          <w:sz w:val="22"/>
        </w:rPr>
        <w:t xml:space="preserve">本地构建（local）：编译验证 + 归档 + 组装 dev/ 部署包</w:t>
      </w:r>
    </w:p>
    <w:p w14:paraId="0010004C" w14:textId="0010004D">
      <w:pPr>
        <w:numPr>
          <w:ilvl w:val="0"/>
          <w:numId w:val="2"/>
        </w:numPr>
      </w:pPr>
      <w:r>
        <w:rPr>
          <w:color w:val="333333"/>
          <w:sz w:val="22"/>
        </w:rPr>
        <w:t xml:space="preserve">远程部署（remote）：在 local 基础上 + SSH 上传产物 + 数据库初始化 + Nginx 配置</w:t>
      </w:r>
    </w:p>
    <w:p w14:paraId="0010004E" w14:textId="0010004F">
      <w:pPr/>
      <w:r>
        <w:rPr>
          <w:b/>
          <w:color w:val="333333"/>
          <w:sz w:val="22"/>
        </w:rPr>
        <w:t xml:space="preserve">关键原则：</w:t>
      </w:r>
    </w:p>
    <w:p w14:paraId="00100050" w14:textId="00100051">
      <w:pPr>
        <w:numPr>
          <w:ilvl w:val="0"/>
          <w:numId w:val="3"/>
        </w:numPr>
      </w:pPr>
      <w:r>
        <w:rPr>
          <w:color w:val="333333"/>
          <w:sz w:val="22"/>
        </w:rPr>
        <w:t xml:space="preserve">所有操作知识来源仅为 environment.json.analyzer 段，禁止猜测</w:t>
      </w:r>
    </w:p>
    <w:p w14:paraId="00100052" w14:textId="00100053">
      <w:pPr>
        <w:numPr>
          <w:ilvl w:val="0"/>
          <w:numId w:val="3"/>
        </w:numPr>
      </w:pPr>
      <w:r>
        <w:rPr>
          <w:color w:val="333333"/>
          <w:sz w:val="22"/>
        </w:rPr>
        <w:t xml:space="preserve">失败后不做排查、不重试、不换命令，直接报告</w:t>
      </w:r>
    </w:p>
    <w:p w14:paraId="00100054" w14:textId="00100055">
      <w:pPr>
        <w:numPr>
          <w:ilvl w:val="0"/>
          <w:numId w:val="3"/>
        </w:numPr>
      </w:pPr>
      <w:r>
        <w:rPr>
          <w:color w:val="333333"/>
          <w:sz w:val="22"/>
        </w:rPr>
        <w:t xml:space="preserve">工具调用上限 100 次，超出立即终止</w:t>
      </w:r>
    </w:p>
    <w:p w14:paraId="00100056" w14:textId="00100057">
      <w:pPr/>
      <w:r>
        <w:rPr>
          <w:color w:val="333333"/>
          <w:sz w:val="22"/>
        </w:rPr>
        <w:t xml:space="preserve">产出文件：build/dev/ 完整部署包、build/artifacts/ 归档、results/.build/deploy/ 验证报告</w:t>
      </w:r>
    </w:p>
    <w:p w14:paraId="00100058" w14:textId="00100059">
      <w:pPr/>
      <w:r>
        <w:rPr/>
        <w:t xml:space="preserve"/>
      </w:r>
    </w:p>
    <w:p w14:paraId="0010005A" w14:textId="0010005B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4.3 Validator — 环境验证</w:t>
      </w:r>
    </w:p>
    <w:p w14:paraId="0010005C" w14:textId="0010005D">
      <w:pPr/>
      <w:r>
        <w:rPr>
          <w:color w:val="333333"/>
          <w:sz w:val="22"/>
        </w:rPr>
        <w:t xml:space="preserve">职责：启动服务、健康检查、页面验证、登录验证，出具环境验证报告。</w:t>
      </w:r>
    </w:p>
    <w:p w14:paraId="00100070" w14:textId="00100071"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44"/>
        </w:rPr>
        <w:t xml:space="preserve">一、平台概述</w:t>
      </w:r>
    </w:p>
    <w:p w14:paraId="00100072" w14:textId="00100073">
      <w:pPr>
        <w:spacing w:before="0" w:after="240"/>
      </w:pPr>
      <w:r>
        <w:rPr>
          <w:color w:val="D6E4F0"/>
          <w:sz w:val="16"/>
        </w:rPr>
        <w:t xml:space="preserve">━━━━━━━━━━━━━━━━━━━━━━━━━━━━━━━━━━━━</w:t>
      </w:r>
    </w:p>
    <w:p w14:paraId="00100074" w14:textId="00100075">
      <w:pPr>
        <w:spacing w:before="320" w:after="160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1.1 什么是 PM 自动化测试平台</w:t>
      </w:r>
    </w:p>
    <w:p w14:paraId="00100076" w14:textId="00100077">
      <w:pPr>
        <w:spacing w:after="120"/>
      </w:pPr>
      <w:r>
        <w:rPr>
          <w:color w:val="333333"/>
          <w:sz w:val="22"/>
        </w:rPr>
        <w:t xml:space="preserve">PM（Project Manager）是一个 AI 驱动的自动化测试平台。它监控外部项目仓库的代码变更，通过多 Agent 协作自动生成测试计划、编写测试脚本、执行并修复失败的测试，最终将测试报告反馈给用户。</w:t>
      </w:r>
    </w:p>
    <w:p w14:paraId="00100078" w14:textId="00100079">
      <w:pPr>
        <w:spacing w:after="240"/>
      </w:pPr>
      <w:r>
        <w:rPr>
          <w:color w:val="333333"/>
          <w:sz w:val="22"/>
        </w:rPr>
        <w:t xml:space="preserve">核心理念：人只做决策，Agent 做执行 —— 从变更检测到测试报告，全程由专职 Agent 分阶段完成，用户只需审阅和确认。</w:t>
      </w:r>
    </w:p>
    <w:p w14:paraId="0010007A" w14:textId="0010007B">
      <w:pPr>
        <w:spacing w:before="320" w:after="160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1.2 核心特性</w:t>
      </w:r>
    </w:p>
    <w:tbl>
      <w:tblPr>
        <w:tblStyle w:val="medium2"/>
        <w:tblW w:w="85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00"/>
        <w:gridCol w:w="3500"/>
        <w:gridCol w:w="3000"/>
        <w:gridCol w:w="2833"/>
      </w:tblGrid>
      <w:tr>
        <w:tc>
          <w:p w14:paraId="0010005E" w14:textId="0010005F"/>
        </w:tc>
        <w:tc>
          <w:p w14:paraId="00100060" w14:textId="00100061"/>
        </w:tc>
        <w:tc>
          <w:p w14:paraId="00100062" w14:textId="00100063"/>
        </w:tc>
        <w:tc>
          <w:p w14:paraId="0010006A" w14:textId="0010006B">
            <w:r>
              <w:t xml:space="preserve">验证项</w:t>
            </w:r>
          </w:p>
        </w:tc>
      </w:tr>
      <w:tr>
        <w:tc>
          <w:p w14:paraId="00100064" w14:textId="00100065"/>
        </w:tc>
        <w:tc>
          <w:p w14:paraId="00100066" w14:textId="00100067"/>
        </w:tc>
        <w:tc>
          <w:p w14:paraId="00100068" w14:textId="00100069"/>
        </w:tc>
        <w:tc>
          <w:p w14:paraId="0010006C" w14:textId="0010006D"/>
        </w:tc>
      </w:tr>
    </w:tbl>
    <w:tbl>
      <w:tblPr>
        <w:tblStyle w:val="medium2"/>
        <w:tblW w:w="85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00"/>
        <w:gridCol w:w="3500"/>
        <w:gridCol w:w="3000"/>
        <w:gridCol w:w="2833"/>
        <w:gridCol w:w="2833"/>
        <w:gridCol w:w="2833"/>
        <w:gridCol w:w="2833"/>
        <w:gridCol w:w="2833"/>
        <w:gridCol w:w="2833"/>
        <w:gridCol w:w="2833"/>
        <w:gridCol w:w="2833"/>
        <w:gridCol w:w="2833"/>
      </w:tblGrid>
      <w:tr>
        <w:tc>
          <w:p w14:paraId="001000B2" w14:textId="001000E2">
            <w:r>
              <w:rPr>
                <w:b/>
                <w:sz w:val="22"/>
              </w:rPr>
              <w:t xml:space="preserve">模式</w:t>
            </w:r>
          </w:p>
          <w:p w14:paraId="001000E0" w14:textId="001000E1">
            <w:pPr/>
          </w:p>
        </w:tc>
        <w:tc>
          <w:p w14:paraId="001000B4" w14:textId="001000E9">
            <w:r>
              <w:rPr>
                <w:b/>
                <w:sz w:val="22"/>
              </w:rPr>
              <w:t xml:space="preserve">触发条件</w:t>
            </w:r>
          </w:p>
          <w:p w14:paraId="001000E7" w14:textId="001000E8">
            <w:pPr/>
          </w:p>
        </w:tc>
        <w:tc>
          <w:p w14:paraId="001000B6" w14:textId="001000F0">
            <w:r>
              <w:rPr>
                <w:b/>
                <w:sz w:val="22"/>
              </w:rPr>
              <w:t xml:space="preserve">工作方式</w:t>
            </w:r>
          </w:p>
          <w:p w14:paraId="001000EE" w14:textId="001000EF">
            <w:pPr/>
          </w:p>
        </w:tc>
        <w:tc>
          <w:p w14:paraId="001000DC" w14:textId="001000DD"/>
        </w:tc>
        <w:tc>
          <w:p w14:paraId="001000E3" w14:textId="001000E4"/>
        </w:tc>
        <w:tc>
          <w:p w14:paraId="001000EA" w14:textId="001000EB"/>
        </w:tc>
        <w:tc>
          <w:p w14:paraId="001000FF" w14:textId="00100100"/>
        </w:tc>
        <w:tc>
          <w:p w14:paraId="00100108" w14:textId="00100109"/>
        </w:tc>
        <w:tc>
          <w:p w14:paraId="00100111" w14:textId="00100112"/>
        </w:tc>
        <w:tc>
          <w:p w14:paraId="0010012C" w14:textId="0010012D"/>
        </w:tc>
        <w:tc>
          <w:p w14:paraId="00100137" w14:textId="00100138"/>
        </w:tc>
        <w:tc>
          <w:p w14:paraId="00100142" w14:textId="00100143"/>
        </w:tc>
      </w:tr>
      <w:tr>
        <w:trPr>
          <w:tblHeader/>
        </w:trPr>
        <w:tc>
          <w:p w14:paraId="001000D6" w14:textId="00100105">
            <w:r>
              <w:rPr>
                <w:sz w:val="22"/>
              </w:rPr>
              <w:t xml:space="preserve">直接生成</w:t>
            </w:r>
          </w:p>
          <w:p w14:paraId="00100103" w14:textId="00100104">
            <w:pPr/>
          </w:p>
        </w:tc>
        <w:tc>
          <w:p w14:paraId="001000D8" w14:textId="0010010E">
            <w:r>
              <w:rPr>
                <w:sz w:val="22"/>
              </w:rPr>
              <w:t xml:space="preserve">计划文件含 UI Map 章节</w:t>
            </w:r>
          </w:p>
          <w:p w14:paraId="0010010C" w14:textId="0010010D">
            <w:pPr/>
          </w:p>
        </w:tc>
        <w:tc>
          <w:p w14:paraId="001000DA" w14:textId="00100117">
            <w:r>
              <w:rPr>
                <w:sz w:val="22"/>
              </w:rPr>
              <w:t xml:space="preserve">从 UI Map 提取选择器直接生成代码</w:t>
            </w:r>
          </w:p>
          <w:p w14:paraId="00100115" w14:textId="00100116">
            <w:pPr/>
          </w:p>
        </w:tc>
        <w:tc>
          <w:p w14:paraId="001000DE" w14:textId="001000DF"/>
        </w:tc>
        <w:tc>
          <w:p w14:paraId="001000E5" w14:textId="001000E6"/>
        </w:tc>
        <w:tc>
          <w:p w14:paraId="001000EC" w14:textId="001000ED"/>
        </w:tc>
        <w:tc>
          <w:p w14:paraId="001000FD" w14:textId="001000FE"/>
        </w:tc>
        <w:tc>
          <w:p w14:paraId="00100106" w14:textId="00100107"/>
        </w:tc>
        <w:tc>
          <w:p w14:paraId="0010010F" w14:textId="00100110"/>
        </w:tc>
        <w:tc>
          <w:p w14:paraId="0010012E" w14:textId="0010012F"/>
        </w:tc>
        <w:tc>
          <w:p w14:paraId="00100139" w14:textId="0010013A"/>
        </w:tc>
        <w:tc>
          <w:p w14:paraId="00100144" w14:textId="00100145"/>
        </w:tc>
      </w:tr>
      <w:tr>
        <w:tc>
          <w:p w14:paraId="001000F1" w14:textId="00100134">
            <w:r>
              <w:rPr>
                <w:sz w:val="22"/>
              </w:rPr>
              <w:t xml:space="preserve">录制模式</w:t>
            </w:r>
          </w:p>
          <w:p w14:paraId="00100132" w14:textId="00100133">
            <w:pPr/>
          </w:p>
        </w:tc>
        <w:tc>
          <w:p w14:paraId="001000F3" w14:textId="0010013F">
            <w:r>
              <w:rPr>
                <w:sz w:val="22"/>
              </w:rPr>
              <w:t xml:space="preserve">计划文件无 UI Map</w:t>
            </w:r>
          </w:p>
          <w:p w14:paraId="0010013D" w14:textId="0010013E">
            <w:pPr/>
          </w:p>
        </w:tc>
        <w:tc>
          <w:p w14:paraId="001000F5" w14:textId="0010014A">
            <w:r>
              <w:rPr>
                <w:sz w:val="22"/>
              </w:rPr>
              <w:t xml:space="preserve">在浏览器中逐步操作，从日志提取代码</w:t>
            </w:r>
          </w:p>
          <w:p w14:paraId="00100148" w14:textId="00100149">
            <w:pPr/>
          </w:p>
        </w:tc>
        <w:tc>
          <w:p w14:paraId="001000F7" w14:textId="001000F8"/>
        </w:tc>
        <w:tc>
          <w:p w14:paraId="001000F9" w14:textId="001000FA"/>
        </w:tc>
        <w:tc>
          <w:p w14:paraId="001000FB" w14:textId="001000FC"/>
        </w:tc>
        <w:tc>
          <w:p w14:paraId="00100101" w14:textId="00100102"/>
        </w:tc>
        <w:tc>
          <w:p w14:paraId="0010010A" w14:textId="0010010B"/>
        </w:tc>
        <w:tc>
          <w:p w14:paraId="00100113" w14:textId="00100114"/>
        </w:tc>
        <w:tc>
          <w:p w14:paraId="0010012A" w14:textId="0010012B"/>
        </w:tc>
        <w:tc>
          <w:p w14:paraId="00100135" w14:textId="00100136"/>
        </w:tc>
        <w:tc>
          <w:p w14:paraId="00100140" w14:textId="00100141"/>
        </w:tc>
      </w:tr>
      <w:tr>
        <w:tc>
          <w:p w14:paraId="00100118" w14:textId="00100119"/>
        </w:tc>
        <w:tc>
          <w:p w14:paraId="0010011A" w14:textId="0010011B"/>
        </w:tc>
        <w:tc>
          <w:p w14:paraId="0010011C" w14:textId="0010011D"/>
        </w:tc>
        <w:tc>
          <w:p w14:paraId="0010011E" w14:textId="0010011F"/>
        </w:tc>
        <w:tc>
          <w:p w14:paraId="00100120" w14:textId="00100121"/>
        </w:tc>
        <w:tc>
          <w:p w14:paraId="00100122" w14:textId="00100123"/>
        </w:tc>
        <w:tc>
          <w:p w14:paraId="00100124" w14:textId="00100125"/>
        </w:tc>
        <w:tc>
          <w:p w14:paraId="00100126" w14:textId="00100127"/>
        </w:tc>
        <w:tc>
          <w:p w14:paraId="00100128" w14:textId="00100129"/>
        </w:tc>
        <w:tc>
          <w:p w14:paraId="00100130" w14:textId="00100131"/>
        </w:tc>
        <w:tc>
          <w:p w14:paraId="0010013B" w14:textId="0010013C"/>
        </w:tc>
        <w:tc>
          <w:p w14:paraId="00100146" w14:textId="00100147"/>
        </w:tc>
      </w:tr>
    </w:tbl>
    <w:p w14:paraId="001000B8" w14:textId="001000B9">
      <w:pPr/>
      <w:r>
        <w:rPr/>
        <w:t xml:space="preserve"/>
      </w:r>
    </w:p>
    <w:p w14:paraId="001000BA" w14:textId="001000BB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4.4 Planner — 测试规划</w:t>
      </w:r>
    </w:p>
    <w:p w14:paraId="001000BC" w14:textId="001000BD">
      <w:pPr/>
      <w:r>
        <w:rPr>
          <w:color w:val="333333"/>
          <w:sz w:val="22"/>
        </w:rPr>
        <w:t xml:space="preserve">职责：浏览被测应用，识别功能模块，生成四级测试计划。优先读取用户案例（case/），支持多轮用户确认。</w:t>
      </w:r>
    </w:p>
    <w:p w14:paraId="001000BE" w14:textId="001000BF">
      <w:pPr/>
      <w:r>
        <w:rPr>
          <w:b/>
          <w:color w:val="333333"/>
          <w:sz w:val="22"/>
        </w:rPr>
        <w:t xml:space="preserve">四级测试层级：</w:t>
      </w:r>
    </w:p>
    <w:p w14:paraId="001000C0" w14:textId="001000C1">
      <w:pPr/>
      <w:r>
        <w:rPr>
          <w:color w:val="333333"/>
          <w:sz w:val="22"/>
        </w:rPr>
        <w:t xml:space="preserve">L1 Unit（毫秒级）— Mock 外部服务，验证单个函数/类逻辑</w:t>
      </w:r>
    </w:p>
    <w:p w14:paraId="001000C2" w14:textId="001000C3">
      <w:pPr/>
      <w:r>
        <w:rPr>
          <w:color w:val="333333"/>
          <w:sz w:val="22"/>
        </w:rPr>
        <w:t xml:space="preserve">L2 API（秒级）— 真实中间件，Mock 第三方服务（Vitest）</w:t>
      </w:r>
    </w:p>
    <w:p w14:paraId="001000C4" w14:textId="001000C5">
      <w:pPr/>
      <w:r>
        <w:rPr>
          <w:color w:val="333333"/>
          <w:sz w:val="22"/>
        </w:rPr>
        <w:t xml:space="preserve">L3 E2E（分钟级）— 完整应用栈，端到端业务流程（Playwright）</w:t>
      </w:r>
    </w:p>
    <w:p w14:paraId="001000C6" w14:textId="001000C7">
      <w:pPr/>
      <w:r>
        <w:rPr>
          <w:color w:val="333333"/>
          <w:sz w:val="22"/>
        </w:rPr>
        <w:t xml:space="preserve">L4 UI（分钟级）— 浏览器交互，表单验证，响应式布局（Playwright）</w:t>
      </w:r>
    </w:p>
    <w:p w14:paraId="001000C8" w14:textId="001000C9">
      <w:pPr/>
      <w:r>
        <w:rPr>
          <w:color w:val="333333"/>
          <w:sz w:val="22"/>
        </w:rPr>
        <w:t xml:space="preserve">产出文件：plans/00-test-plan.md（总索引）+ plans/NN-{module}.md（详细计划含 UI Map）</w:t>
      </w:r>
    </w:p>
    <w:p w14:paraId="001000CA" w14:textId="001000CB">
      <w:pPr/>
      <w:r>
        <w:rPr/>
        <w:t xml:space="preserve"/>
      </w:r>
    </w:p>
    <w:p w14:paraId="001000CC" w14:textId="001000CD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4.5 Generator — 代码生成</w:t>
      </w:r>
    </w:p>
    <w:p w14:paraId="001000CE" w14:textId="001000CF">
      <w:pPr/>
      <w:r>
        <w:rPr>
          <w:color w:val="333333"/>
          <w:sz w:val="22"/>
        </w:rPr>
        <w:t xml:space="preserve">职责：根据测试计划生成 Playwright 测试代码。支持双模式工作：</w:t>
      </w:r>
    </w:p>
    <w:tbl>
      <w:tblPr>
        <w:tblStyle w:val="medium2"/>
        <w:tblW w:w="8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1500"/>
        <w:gridCol w:w="2500"/>
        <w:gridCol w:w="4000"/>
      </w:tblGrid>
      <w:tr>
        <w:tc>
          <w:p w14:paraId="001000D0" w14:textId="001000D1"/>
        </w:tc>
        <w:tc>
          <w:p w14:paraId="001000D2" w14:textId="001000D3"/>
        </w:tc>
        <w:tc>
          <w:p w14:paraId="001000D4" w14:textId="001000D5"/>
        </w:tc>
      </w:tr>
    </w:tbl>
    <w:p w14:paraId="0010014B" w14:textId="0010014C">
      <w:pPr/>
      <w:r>
        <w:rPr/>
        <w:t xml:space="preserve"/>
      </w:r>
    </w:p>
    <w:p w14:paraId="0010014D" w14:textId="0010014E">
      <w:pPr/>
      <w:r>
        <w:rPr>
          <w:color w:val="333333"/>
          <w:sz w:val="22"/>
        </w:rPr>
        <w:t xml:space="preserve">每个 TC 一个独立文件，写入 tests/{level}/{module}/tc-{编号}-{简称}.spec.ts。使用 Playwright 智能等待策略（waitForURL / waitForResponse / locator.waitFor），每个用例至少 3 张截图。</w:t>
      </w:r>
    </w:p>
    <w:p w14:paraId="0010014F" w14:textId="00100150">
      <w:pPr/>
      <w:r>
        <w:rPr/>
        <w:t xml:space="preserve"/>
      </w:r>
    </w:p>
    <w:p w14:paraId="00100151" w14:textId="00100152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4.6 Healer — 自动修复</w:t>
      </w:r>
    </w:p>
    <w:p w14:paraId="00100153" w14:textId="00100154">
      <w:pPr/>
      <w:r>
        <w:rPr>
          <w:color w:val="333333"/>
          <w:sz w:val="22"/>
        </w:rPr>
        <w:t xml:space="preserve">职责：运行失败测试 → 诊断原因 → 修复代码 → 验证通过。</w:t>
      </w:r>
    </w:p>
    <w:p w14:paraId="00100155" w14:textId="00100156">
      <w:pPr/>
      <w:r>
        <w:rPr>
          <w:b/>
          <w:color w:val="333333"/>
          <w:sz w:val="22"/>
        </w:rPr>
        <w:t xml:space="preserve">修复流程：</w:t>
      </w:r>
    </w:p>
    <w:p w14:paraId="00100157" w14:textId="00100158">
      <w:pPr>
        <w:numPr>
          <w:ilvl w:val="0"/>
          <w:numId w:val="4"/>
        </w:numPr>
      </w:pPr>
      <w:r>
        <w:rPr>
          <w:color w:val="333333"/>
          <w:sz w:val="22"/>
        </w:rPr>
        <w:t xml:space="preserve">test_run 运行全部测试，识别失败用例</w:t>
      </w:r>
    </w:p>
    <w:p w14:paraId="00100159" w14:textId="0010015A">
      <w:pPr>
        <w:numPr>
          <w:ilvl w:val="0"/>
          <w:numId w:val="4"/>
        </w:numPr>
      </w:pPr>
      <w:r>
        <w:rPr>
          <w:color w:val="333333"/>
          <w:sz w:val="22"/>
        </w:rPr>
        <w:t xml:space="preserve">test_debug 逐个调试失败用例</w:t>
      </w:r>
    </w:p>
    <w:p w14:paraId="0010015B" w14:textId="0010015C">
      <w:pPr>
        <w:numPr>
          <w:ilvl w:val="0"/>
          <w:numId w:val="4"/>
        </w:numPr>
      </w:pPr>
      <w:r>
        <w:rPr>
          <w:color w:val="333333"/>
          <w:sz w:val="22"/>
        </w:rPr>
        <w:t xml:space="preserve">用 Playwright 工具分析：snapshot、console、network</w:t>
      </w:r>
    </w:p>
    <w:p w14:paraId="0010015D" w14:textId="0010015E">
      <w:pPr>
        <w:numPr>
          <w:ilvl w:val="0"/>
          <w:numId w:val="4"/>
        </w:numPr>
      </w:pPr>
      <w:r>
        <w:rPr>
          <w:color w:val="333333"/>
          <w:sz w:val="22"/>
        </w:rPr>
        <w:t xml:space="preserve">系统化修复，不猜测</w:t>
      </w:r>
    </w:p>
    <w:p w14:paraId="0010015F" w14:textId="00100160">
      <w:pPr>
        <w:numPr>
          <w:ilvl w:val="0"/>
          <w:numId w:val="4"/>
        </w:numPr>
      </w:pPr>
      <w:r>
        <w:rPr>
          <w:color w:val="333333"/>
          <w:sz w:val="22"/>
        </w:rPr>
        <w:t xml:space="preserve">每次修复后重新运行验证</w:t>
      </w:r>
    </w:p>
    <w:p w14:paraId="00100161" w14:textId="00100162">
      <w:pPr>
        <w:numPr>
          <w:ilvl w:val="0"/>
          <w:numId w:val="4"/>
        </w:numPr>
      </w:pPr>
      <w:r>
        <w:rPr>
          <w:color w:val="333333"/>
          <w:sz w:val="22"/>
        </w:rPr>
        <w:t xml:space="preserve">更新 progress.txt、report.md、summary.md</w:t>
      </w:r>
    </w:p>
    <w:p w14:paraId="00100163" w14:textId="00100164">
      <w:pPr/>
      <w:r>
        <w:rPr>
          <w:i/>
          <w:color w:val="666666"/>
          <w:sz w:val="22"/>
        </w:rPr>
        <w:t xml:space="preserve">每个 TC 最多 3 次修复尝试，3 次后仍失败标记 test.fixme() 并注明原因。</w:t>
      </w:r>
    </w:p>
    <w:p w14:paraId="00100165" w14:textId="00100166">
      <w:pPr/>
      <w:r>
        <w:rPr/>
        <w:t xml:space="preserve"/>
      </w:r>
    </w:p>
    <w:p w14:paraId="00100167" w14:textId="00100168">
      <w:pPr>
        <w:pStyle w:val="Heading2"/>
      </w:pPr>
      <w:r>
        <w:rPr>
          <w:rFonts w:ascii="Microsoft YaHei" w:hAnsi="Microsoft YaHei" w:eastAsia="Microsoft YaHei"/>
          <w:b/>
          <w:color w:val="2E75B6"/>
          <w:sz w:val="32"/>
        </w:rPr>
        <w:t xml:space="preserve">4.7 Publisher — 发布</w:t>
      </w:r>
    </w:p>
    <w:p w14:paraId="00100169" w14:textId="0010016A">
      <w:pPr/>
      <w:r>
        <w:rPr>
          <w:color w:val="333333"/>
          <w:sz w:val="22"/>
        </w:rPr>
        <w:t xml:space="preserve">职责：测试全部通过后，编译打包前后端代码，上传到 Gitee Release。</w:t>
      </w:r>
    </w:p>
    <w:p w14:paraId="0010016B" w14:textId="0010016C">
      <w:pPr/>
      <w:r>
        <w:rPr>
          <w:color w:val="333333"/>
          <w:sz w:val="22"/>
        </w:rPr>
        <w:t xml:space="preserve">流程：编译打包 → 创建 Git Tag → 上传附件到 Gitee Release → 写入 publishes[] 历史</w:t>
      </w:r>
    </w:p>
    <w:p w14:paraId="0010016D" w14:textId="0010016E">
      <w:pPr/>
      <w:r>
        <w:rPr>
          <w:i/>
          <w:color w:val="666666"/>
          <w:sz w:val="22"/>
        </w:rPr>
        <w:t xml:space="preserve">仅在用户确认后才执行发布操作。</w:t>
      </w:r>
    </w:p>
    <w:sectPr>
      <w:headerReference w:type="default" r:id="Rcbaf06e448ef4406"/>
      <w:footerReference w:type="default" r:id="R41460fb0c3634950"/>
      <w:pgSz w:w="11906" w:h="16838"/>
      <w:pgMar w:top="1417" w:right="1587" w:bottom="1417" w:left="158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2" w14:textId="00100025">
    <w:pPr>
      <w:jc w:val="center"/>
    </w:pPr>
    <w:r>
      <w:rPr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color w:val="999999"/>
        <w:sz w:val="18"/>
      </w:rPr>
      <w:t xml:space="preserve"> 页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20" w14:textId="00100021">
    <w:pPr>
      <w:jc w:val="right"/>
    </w:pPr>
    <w:r>
      <w:rPr>
        <w:color w:val="999999"/>
        <w:sz w:val="18"/>
      </w:rPr>
      <w:t xml:space="preserve">PM 自动化测试平台 · 使用手册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1320d549924163" /><Relationship Type="http://schemas.openxmlformats.org/officeDocument/2006/relationships/styles" Target="/word/styles.xml" Id="Rf877ab83741d4271" /><Relationship Type="http://schemas.openxmlformats.org/officeDocument/2006/relationships/theme" Target="/word/theme/theme1.xml" Id="R911925b48b0b4d30" /><Relationship Type="http://schemas.openxmlformats.org/officeDocument/2006/relationships/numbering" Target="/word/numbering.xml" Id="R131dba7a06054ea2" /><Relationship Type="http://schemas.openxmlformats.org/officeDocument/2006/relationships/header" Target="/word/header1.xml" Id="Rcbaf06e448ef4406" /><Relationship Type="http://schemas.openxmlformats.org/officeDocument/2006/relationships/footer" Target="/word/footer1.xml" Id="R41460fb0c36349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2026-06-09T06:36:45Z</dcterms:created>
  <cp:lastModifiedBy>OfficeCLI</cp:lastModifiedBy>
  <dcterms:modified xsi:type="dcterms:W3CDTF">2026-06-09T06:36:45Z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1.0.105</vt:lpwstr>
  </op:property>
  <op:property fmtid="{D5CDD505-2E9C-101B-9397-08002B2CF9AE}" pid="3" name="OfficeCLI.LastModified">
    <vt:lpwstr xmlns:vt="http://schemas.openxmlformats.org/officeDocument/2006/docPropsVTypes">2026-06-09T06:45:53Z</vt:lpwstr>
  </op:property>
</op:Properties>
</file>