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100" w:before="0"/>
        <w:ind w:left="180"/>
      </w:pPr>
      <w:r>
        <w:rPr>
          <w:rFonts w:ascii="Arial" w:cs="Arial" w:eastAsia="Arial" w:hAnsi="Arial"/>
          <w:b/>
          <w:bCs/>
          <w:color w:val="FFFFFF"/>
          <w:sz w:val="48"/>
          <w:szCs w:val="48"/>
        </w:rPr>
        <w:t xml:space="preserve">Compliance Scanner — Documentation</w:t>
      </w:r>
    </w:p>
    <w:p>
      <w:pPr>
        <w:shd w:fill="2E75B6" w:val="clear"/>
        <w:spacing w:after="0" w:before="0"/>
        <w:ind w:left="180"/>
      </w:pPr>
      <w:r>
        <w:rPr>
          <w:rFonts w:ascii="Arial" w:cs="Arial" w:eastAsia="Arial" w:hAnsi="Arial"/>
          <w:color w:val="FFFFFF"/>
          <w:sz w:val="22"/>
          <w:szCs w:val="22"/>
        </w:rPr>
        <w:t xml:space="preserve">Tool Description · Methodology · Usage Guide · Research Context</w:t>
      </w:r>
    </w:p>
    <w:p>
      <w:pPr>
        <w:spacing w:after="80" w:before="120"/>
        <w:ind w:left="180"/>
      </w:pPr>
      <w:r>
        <w:rPr>
          <w:rFonts w:ascii="Arial" w:cs="Arial" w:eastAsia="Arial" w:hAnsi="Arial"/>
          <w:color w:val="555555"/>
          <w:sz w:val="17"/>
          <w:szCs w:val="17"/>
        </w:rPr>
        <w:t xml:space="preserve">Dual-Jurisdiction Cloud Storage Compliance Scanner v1.0.0  |  DPDPA 2023 + 152-FZ / 242-FZ</w:t>
      </w:r>
    </w:p>
    <w:p>
      <w:pPr>
        <w:pBdr>
          <w:bottom w:val="single" w:color="2E75B6"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1. Overview</w:t>
      </w:r>
    </w:p>
    <w:p>
      <w:pPr>
        <w:spacing w:after="80" w:before="80"/>
        <w:ind w:left="180"/>
        <w:jc w:val="both"/>
      </w:pPr>
      <w:r>
        <w:rPr>
          <w:rFonts w:ascii="Arial" w:cs="Arial" w:eastAsia="Arial" w:hAnsi="Arial"/>
          <w:color w:val="1A1A1A"/>
          <w:sz w:val="20"/>
          <w:szCs w:val="20"/>
        </w:rPr>
        <w:t xml:space="preserve">This document describes the Dual-Jurisdiction Cloud Storage Compliance Scanner, a Python-based research tool developed to evaluate cloud storage configuration against the compliance requirements of two data protection laws: India's Digital Personal Data Protection Act 2023 (DPDPA) and Russia's Federal Law No. 152-FZ on Personal Data, as amended by Federal Law No. 242-FZ (data localisation, effective September 2015).</w:t>
      </w:r>
    </w:p>
    <w:p>
      <w:pPr>
        <w:spacing w:after="0" w:before="0"/>
      </w:pPr>
      <w:r>
        <w:t xml:space="preserve"/>
      </w:r>
    </w:p>
    <w:p>
      <w:pPr>
        <w:spacing w:after="80" w:before="80"/>
        <w:ind w:left="180"/>
        <w:jc w:val="both"/>
      </w:pPr>
      <w:r>
        <w:rPr>
          <w:rFonts w:ascii="Arial" w:cs="Arial" w:eastAsia="Arial" w:hAnsi="Arial"/>
          <w:color w:val="1A1A1A"/>
          <w:sz w:val="20"/>
          <w:szCs w:val="20"/>
        </w:rPr>
        <w:t xml:space="preserve">The tool was developed as part of a comparative research study examining the technical architectural implications of operating cloud storage systems subject to both legal frameworks simultaneously. Its primary research contribution is demonstrating that the six inter-law conflicts identified in the study are detectable and measurable from concrete infrastructure configuration parameters, not merely theoretical legal constructs.</w:t>
      </w:r>
    </w:p>
    <w:p>
      <w:pPr>
        <w:spacing w:after="0" w:before="0"/>
      </w:pPr>
      <w:r>
        <w:t xml:space="preserve"/>
      </w:r>
    </w:p>
    <w:p>
      <w:pPr>
        <w:pBdr>
          <w:bottom w:val="single" w:color="1A6B5E"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2. Scope and Boundaries</w:t>
      </w:r>
    </w:p>
    <w:p>
      <w:pPr>
        <w:pStyle w:val="Heading2"/>
        <w:shd w:fill="1A6B5E" w:val="clear"/>
        <w:spacing w:after="120" w:before="280"/>
        <w:ind w:left="180"/>
      </w:pPr>
      <w:r>
        <w:rPr>
          <w:rFonts w:ascii="Arial" w:cs="Arial" w:eastAsia="Arial" w:hAnsi="Arial"/>
          <w:b/>
          <w:bCs/>
          <w:color w:val="FFFFFF"/>
          <w:sz w:val="26"/>
          <w:szCs w:val="26"/>
        </w:rPr>
        <w:t xml:space="preserve">2.1  What the Tool Is</w:t>
      </w:r>
    </w:p>
    <w:p>
      <w:pPr>
        <w:spacing w:after="80" w:before="80"/>
        <w:ind w:left="180"/>
        <w:jc w:val="both"/>
      </w:pPr>
      <w:r>
        <w:rPr>
          <w:rFonts w:ascii="Arial" w:cs="Arial" w:eastAsia="Arial" w:hAnsi="Arial"/>
          <w:color w:val="1A1A1A"/>
          <w:sz w:val="20"/>
          <w:szCs w:val="20"/>
        </w:rPr>
        <w:t xml:space="preserve">The compliance scanner is a static configuration auditor. It reads a cloud storage bucket configuration — either fetched in real time from AWS S3 via API or provided as a simulated Python dictionary — and evaluates it against a set of compliance rules derived from a clause-level legal analysis of DPDPA 2023 and 152-FZ/242-FZ.</w:t>
      </w:r>
    </w:p>
    <w:p>
      <w:pPr>
        <w:spacing w:after="0" w:before="0"/>
      </w:pPr>
      <w:r>
        <w:t xml:space="preserve"/>
      </w:r>
    </w:p>
    <w:p>
      <w:pPr>
        <w:spacing w:after="80" w:before="80"/>
        <w:ind w:left="180"/>
        <w:jc w:val="both"/>
      </w:pPr>
      <w:r>
        <w:rPr>
          <w:rFonts w:ascii="Arial" w:cs="Arial" w:eastAsia="Arial" w:hAnsi="Arial"/>
          <w:color w:val="1A1A1A"/>
          <w:sz w:val="20"/>
          <w:szCs w:val="20"/>
        </w:rPr>
        <w:t xml:space="preserve">The tool performs nine clause-level checks and evaluates six inter-law conflict conditions. For each check it returns one of four statuses: PASS, FAIL, WARN, or SKIP (where the check is not applicable to the declared configuration). For each conflict it returns ACTIVE or INACTIVE based on whether the configuration triggers the conflict conditions identified in the research analysis.</w:t>
      </w:r>
    </w:p>
    <w:p>
      <w:pPr>
        <w:spacing w:after="0" w:before="0"/>
      </w:pPr>
      <w:r>
        <w:t xml:space="preserve"/>
      </w:r>
    </w:p>
    <w:p>
      <w:pPr>
        <w:pStyle w:val="Heading2"/>
        <w:shd w:fill="C0392B" w:val="clear"/>
        <w:spacing w:after="120" w:before="280"/>
        <w:ind w:left="180"/>
      </w:pPr>
      <w:r>
        <w:rPr>
          <w:rFonts w:ascii="Arial" w:cs="Arial" w:eastAsia="Arial" w:hAnsi="Arial"/>
          <w:b/>
          <w:bCs/>
          <w:color w:val="FFFFFF"/>
          <w:sz w:val="26"/>
          <w:szCs w:val="26"/>
        </w:rPr>
        <w:t xml:space="preserve">2.2  What the Tool Is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It is NOT</w:t>
            </w:r>
          </w:p>
        </w:tc>
        <w:tc>
          <w:tcPr>
            <w:tcW w:type="dxa" w:w="6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Explanation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network scanner</w:t>
            </w:r>
          </w:p>
        </w:tc>
        <w:tc>
          <w:tcPr>
            <w:tcW w:type="dxa" w:w="6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Does not probe, ping, or discover external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penetration testing tool</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Performs no exploitation, fuzzing, or vulnerability scanning</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real-time regulatory feed</w:t>
            </w:r>
          </w:p>
        </w:tc>
        <w:tc>
          <w:tcPr>
            <w:tcW w:type="dxa" w:w="6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Blacklists and adequacy lists are static constants in the code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legal instrument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Findings are for research and informational purposes only</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An enterprise compliance platform</w:t>
            </w:r>
          </w:p>
        </w:tc>
        <w:tc>
          <w:tcPr>
            <w:tcW w:type="dxa" w:w="6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Covers 9 specific checks relevant to the research — not hundreds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 random data generator</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All check outcomes are deterministic logic against declared config values</w:t>
            </w:r>
          </w:p>
        </w:tc>
      </w:tr>
    </w:tbl>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D4830A" w:sz="20"/>
              <w:bottom w:val="none" w:color="FFFFFF" w:sz="0"/>
              <w:right w:val="none" w:color="FFFFFF" w:sz="0"/>
            </w:tcBorders>
            <w:shd w:fill="FEF5E7" w:val="clear"/>
            <w:tcMar>
              <w:top w:type="dxa" w:w="100"/>
              <w:left w:type="dxa" w:w="180"/>
              <w:bottom w:type="dxa" w:w="100"/>
              <w:right w:type="dxa" w:w="100"/>
            </w:tcMar>
          </w:tcPr>
          <w:p>
            <w:r>
              <w:rPr>
                <w:rFonts w:ascii="Arial" w:cs="Arial" w:eastAsia="Arial" w:hAnsi="Arial"/>
                <w:color w:val="1A1A1A"/>
                <w:sz w:val="19"/>
                <w:szCs w:val="19"/>
              </w:rPr>
              <w:t xml:space="preserve">The tool operates exclusively against configuration data that the operator provides or that the operator's own AWS credentials retrieve from their own infrastructure. It makes no connection to any third-party system, performs no network discovery, and stores no data externally.</w:t>
            </w:r>
          </w:p>
        </w:tc>
      </w:tr>
    </w:tbl>
    <w:p>
      <w:pPr>
        <w:spacing w:after="0" w:before="0"/>
      </w:pPr>
      <w:r>
        <w:t xml:space="preserve"/>
      </w:r>
    </w:p>
    <w:p>
      <w:pPr>
        <w:pBdr>
          <w:bottom w:val="single" w:color="2E75B6"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3. Checks Performed</w:t>
      </w:r>
    </w:p>
    <w:p>
      <w:pPr>
        <w:spacing w:after="80" w:before="80"/>
        <w:ind w:left="180"/>
        <w:jc w:val="both"/>
      </w:pPr>
      <w:r>
        <w:rPr>
          <w:rFonts w:ascii="Arial" w:cs="Arial" w:eastAsia="Arial" w:hAnsi="Arial"/>
          <w:color w:val="1A1A1A"/>
          <w:sz w:val="20"/>
          <w:szCs w:val="20"/>
        </w:rPr>
        <w:t xml:space="preserve">The following nine checks are derived directly from the clause-level compliance matrix developed in the research. Each check maps to one or more clause IDs from the matrix.</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
        <w:gridCol w:w="1200"/>
        <w:gridCol w:w="1500"/>
        <w:gridCol w:w="3200"/>
        <w:gridCol w:w="1780"/>
      </w:tblGrid>
      <w:tr>
        <w:trPr>
          <w:tblHeader/>
        </w:trPr>
        <w:tc>
          <w:tcPr>
            <w:tcW w:type="dxa" w:w="3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Clause ID</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Check Name</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Evaluates</w:t>
            </w:r>
          </w:p>
        </w:tc>
        <w:tc>
          <w:tcPr>
            <w:tcW w:type="dxa" w:w="17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Applies When</w:t>
            </w:r>
          </w:p>
        </w:tc>
      </w:tr>
      <w:tr>
        <w:tc>
          <w:tcPr>
            <w:tcW w:type="dxa" w:w="3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242FZ-A18(5)</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Storage region — Russia primary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 bucket in a Russian-territory cloud region (Yandex Cloud, SberCloud, etc.)?</w:t>
            </w:r>
          </w:p>
        </w:tc>
        <w:tc>
          <w:tcPr>
            <w:tcW w:type="dxa" w:w="17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Russian or both data subjects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DPDP-S16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Storage region — DPDPA blacklist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 bucket in a country notified as restricted by India's Central Government?</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Always</w:t>
            </w:r>
          </w:p>
        </w:tc>
      </w:tr>
      <w:tr>
        <w:tc>
          <w:tcPr>
            <w:tcW w:type="dxa" w:w="3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DPDP-S8(5)</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Encryption at rest</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server-side encryption enabled on the bucket?</w:t>
            </w:r>
          </w:p>
        </w:tc>
        <w:tc>
          <w:tcPr>
            <w:tcW w:type="dxa" w:w="17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Always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152FZ-A19(3b)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Encryption standard — GOST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an FSB-certified GOST algorithm in use (vs. AES)?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Russian/both + PDIS only</w:t>
            </w:r>
          </w:p>
        </w:tc>
      </w:tr>
      <w:tr>
        <w:tc>
          <w:tcPr>
            <w:tcW w:type="dxa" w:w="3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5</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DPDP-S8(5)</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Public access blocked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Are all four public access block settings enabled?</w:t>
            </w:r>
          </w:p>
        </w:tc>
        <w:tc>
          <w:tcPr>
            <w:tcW w:type="dxa" w:w="17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Always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152FZ-A19(8)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Versioning enabled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object versioning enabled for audit trail integrity?</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Always</w:t>
            </w:r>
          </w:p>
        </w:tc>
      </w:tr>
      <w:tr>
        <w:tc>
          <w:tcPr>
            <w:tcW w:type="dxa" w:w="3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7</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DPDP-S8(5) / 152FZ-A19</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Access logging enabled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Are server access logs being captured to a log bucket?</w:t>
            </w:r>
          </w:p>
        </w:tc>
        <w:tc>
          <w:tcPr>
            <w:tcW w:type="dxa" w:w="17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Always</w:t>
            </w:r>
          </w:p>
        </w:tc>
      </w:tr>
      <w:tr>
        <w:tc>
          <w:tcPr>
            <w:tcW w:type="dxa" w:w="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DPDP-S8(7) / 152FZ-A5(7)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Retention / deletion policy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there a lifecycle policy with expiry rules configured?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Always</w:t>
            </w:r>
          </w:p>
        </w:tc>
      </w:tr>
      <w:tr>
        <w:tc>
          <w:tcPr>
            <w:tcW w:type="dxa" w:w="32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DPDP-S8(5) / 152FZ-A19</w:t>
            </w:r>
          </w:p>
        </w:tc>
        <w:tc>
          <w:tcPr>
            <w:tcW w:type="dxa" w:w="15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HTTPS-only enforced</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 HTTP access denied by bucket policy?</w:t>
            </w:r>
          </w:p>
        </w:tc>
        <w:tc>
          <w:tcPr>
            <w:tcW w:type="dxa" w:w="17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Always</w:t>
            </w:r>
          </w:p>
        </w:tc>
      </w:tr>
    </w:tbl>
    <w:p>
      <w:pPr>
        <w:spacing w:after="0" w:before="0"/>
      </w:pPr>
      <w:r>
        <w:t xml:space="preserve"/>
      </w:r>
    </w:p>
    <w:p>
      <w:pPr>
        <w:pBdr>
          <w:bottom w:val="single" w:color="2E75B6"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4. Conflict Detection</w:t>
      </w:r>
    </w:p>
    <w:p>
      <w:pPr>
        <w:spacing w:after="80" w:before="80"/>
        <w:ind w:left="180"/>
        <w:jc w:val="both"/>
      </w:pPr>
      <w:r>
        <w:rPr>
          <w:rFonts w:ascii="Arial" w:cs="Arial" w:eastAsia="Arial" w:hAnsi="Arial"/>
          <w:color w:val="1A1A1A"/>
          <w:sz w:val="20"/>
          <w:szCs w:val="20"/>
        </w:rPr>
        <w:t xml:space="preserve">Beyond individual clause checks, the tool evaluates six inter-law conflict conditions. These correspond directly to the six conflicts documented in Section 4 of the research paper. Each conflict is evaluated as ACTIVE or INACTIVE based on the specific configuration parameters.</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50"/>
        <w:gridCol w:w="2150"/>
        <w:gridCol w:w="5800"/>
      </w:tblGrid>
      <w:tr>
        <w:trPr>
          <w:tblHeader/>
        </w:trPr>
        <w:tc>
          <w:tcPr>
            <w:tcW w:type="dxa" w:w="10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Conflict ID</w:t>
            </w:r>
          </w:p>
        </w:tc>
        <w:tc>
          <w:tcPr>
            <w:tcW w:type="dxa" w:w="215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Laws in Tension</w:t>
            </w:r>
          </w:p>
        </w:tc>
        <w:tc>
          <w:tcPr>
            <w:tcW w:type="dxa" w:w="5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Triggered When</w:t>
            </w:r>
          </w:p>
        </w:tc>
      </w:tr>
      <w:tr>
        <w:tc>
          <w:tcPr>
            <w:tcW w:type="dxa" w:w="105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CONFLICT-01</w:t>
            </w:r>
          </w:p>
        </w:tc>
        <w:tc>
          <w:tcPr>
            <w:tcW w:type="dxa" w:w="215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 S.6(1) vs 152-FZ Art.9(4)</w:t>
            </w:r>
          </w:p>
        </w:tc>
        <w:tc>
          <w:tcPr>
            <w:tcW w:type="dxa" w:w="5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Storage serves both Indian and Russian data subjects — consent architecture conflict is flagged contextually</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CONFLICT-02</w:t>
            </w:r>
          </w:p>
        </w:tc>
        <w:tc>
          <w:tcPr>
            <w:tcW w:type="dxa" w:w="2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242FZ-A18(5) vs DPDP-S16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Region is not a Russian territory but Russian data subjects are in scope — satisfies DPDPA, violates 242-FZ</w:t>
            </w:r>
          </w:p>
        </w:tc>
      </w:tr>
      <w:tr>
        <w:tc>
          <w:tcPr>
            <w:tcW w:type="dxa" w:w="105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CONFLICT-03</w:t>
            </w:r>
          </w:p>
        </w:tc>
        <w:tc>
          <w:tcPr>
            <w:tcW w:type="dxa" w:w="215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152FZ-A19(3b) vs DPDP-S8(5)</w:t>
            </w:r>
          </w:p>
        </w:tc>
        <w:tc>
          <w:tcPr>
            <w:tcW w:type="dxa" w:w="5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Encryption is AES (satisfies DPDPA) but not GOST (required by 152-FZ) for a regulated PDIS</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CONFLICT-04</w:t>
            </w:r>
          </w:p>
        </w:tc>
        <w:tc>
          <w:tcPr>
            <w:tcW w:type="dxa" w:w="2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DPDP-S8(4) vs 152FZ-A19(1)/A19(3)</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Missing controls (logging or versioning) acceptable under DPDPA self-assessment but constitute FSTEC audit failures</w:t>
            </w:r>
          </w:p>
        </w:tc>
      </w:tr>
      <w:tr>
        <w:tc>
          <w:tcPr>
            <w:tcW w:type="dxa" w:w="105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CONFLICT-05</w:t>
            </w:r>
          </w:p>
        </w:tc>
        <w:tc>
          <w:tcPr>
            <w:tcW w:type="dxa" w:w="215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DPDP-S16 vs 152FZ-A12(1)</w:t>
            </w:r>
          </w:p>
        </w:tc>
        <w:tc>
          <w:tcPr>
            <w:tcW w:type="dxa" w:w="5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Region is non-Russian, Russian data subjects in scope — transfer permitted by DPDPA but requires Art.12(4) basis under 152-FZ</w:t>
            </w:r>
          </w:p>
        </w:tc>
      </w:tr>
      <w:tr>
        <w:tc>
          <w:tcPr>
            <w:tcW w:type="dxa" w:w="10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CONFLICT-06</w:t>
            </w:r>
          </w:p>
        </w:tc>
        <w:tc>
          <w:tcPr>
            <w:tcW w:type="dxa" w:w="2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DPDPA (absent) vs 152FZ-A16</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Russian data subjects in scope — 152-FZ ADM prohibition contextually flagged; DPDPA has no equivalent provision</w:t>
            </w:r>
          </w:p>
        </w:tc>
      </w:tr>
    </w:tbl>
    <w:p>
      <w:pPr>
        <w:spacing w:after="0" w:before="0"/>
      </w:pPr>
      <w:r>
        <w:t xml:space="preserve"/>
      </w:r>
    </w:p>
    <w:p>
      <w:pPr>
        <w:pBdr>
          <w:bottom w:val="single" w:color="2E75B6"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5. Operating Modes</w:t>
      </w:r>
    </w:p>
    <w:p>
      <w:pPr>
        <w:pStyle w:val="Heading2"/>
        <w:shd w:fill="1A6B5E" w:val="clear"/>
        <w:spacing w:after="120" w:before="280"/>
        <w:ind w:left="180"/>
      </w:pPr>
      <w:r>
        <w:rPr>
          <w:rFonts w:ascii="Arial" w:cs="Arial" w:eastAsia="Arial" w:hAnsi="Arial"/>
          <w:b/>
          <w:bCs/>
          <w:color w:val="FFFFFF"/>
          <w:sz w:val="26"/>
          <w:szCs w:val="26"/>
        </w:rPr>
        <w:t xml:space="preserve">5.1  Mode A — Real AWS S3 (Live Configuration Scan)</w:t>
      </w:r>
    </w:p>
    <w:p>
      <w:pPr>
        <w:spacing w:after="80" w:before="80"/>
        <w:ind w:left="180"/>
        <w:jc w:val="both"/>
      </w:pPr>
      <w:r>
        <w:rPr>
          <w:rFonts w:ascii="Arial" w:cs="Arial" w:eastAsia="Arial" w:hAnsi="Arial"/>
          <w:color w:val="1A1A1A"/>
          <w:sz w:val="20"/>
          <w:szCs w:val="20"/>
        </w:rPr>
        <w:t xml:space="preserve">Mode A connects to AWS using the boto3 SDK and fetches real bucket configuration via the Amazon S3 API. The following API calls are made against the target bucket:</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API Call</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Configuration Value Retrieved</w:t>
            </w:r>
          </w:p>
        </w:tc>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Maps To</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get_bucket_location()</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AWS region of the bucket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region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get_bucket_encryption()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Encryption algorithm (AES256, aws:kms, etc.)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encryption_enabled, encryption_algorithm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get_public_access_block()</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All four public access block settings</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public_access_blocked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get_bucket_versioning()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Versioning status (Enabled / Suspended / None)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versioning_enabled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get_bucket_logging()</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Whether LoggingEnabled key is present in response</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logging_enabled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get_bucket_lifecycle_configuration()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Whether any rules contain Expiration keys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retention_policy_set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get_bucket_policy()</w:t>
            </w:r>
          </w:p>
        </w:tc>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Whether a Deny policy exists for non-SecureTransport</w:t>
            </w:r>
          </w:p>
        </w:tc>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https_only_enforced</w:t>
            </w:r>
          </w:p>
        </w:tc>
      </w:tr>
    </w:tbl>
    <w:p>
      <w:pPr>
        <w:spacing w:after="0" w:before="0"/>
      </w:pPr>
      <w:r>
        <w:t xml:space="preserve"/>
      </w:r>
    </w:p>
    <w:p>
      <w:pPr>
        <w:spacing w:after="80" w:before="80"/>
        <w:ind w:left="180"/>
        <w:jc w:val="both"/>
      </w:pPr>
      <w:r>
        <w:rPr>
          <w:rFonts w:ascii="Arial" w:cs="Arial" w:eastAsia="Arial" w:hAnsi="Arial"/>
          <w:color w:val="1A1A1A"/>
          <w:sz w:val="20"/>
          <w:szCs w:val="20"/>
        </w:rPr>
        <w:t xml:space="preserve">The API responses are mapped into the standard configuration dictionary structure, then the same compliance logic used in Mode B runs against the populated dictionary. The operator must additionally declare two values that cannot be auto-detected from bucket configuration:</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2600"/>
        <w:gridCol w:w="38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Declared Parameter</w:t>
            </w:r>
          </w:p>
        </w:tc>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Default</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Represents</w:t>
            </w:r>
          </w:p>
        </w:tc>
        <w:tc>
          <w:tcPr>
            <w:tcW w:type="dxa" w:w="3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Why It Cannot Be Auto-Detected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data_subject_origin</w:t>
            </w:r>
          </w:p>
        </w:tc>
        <w:tc>
          <w:tcPr>
            <w:tcW w:type="dxa" w:w="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both</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Whether the bucket stores data of Russian citizens, Indian data principals, or both</w:t>
            </w:r>
          </w:p>
        </w:tc>
        <w:tc>
          <w:tcPr>
            <w:tcW w:type="dxa" w:w="3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Depends on the application's user base — not stored in bucket metadata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is_pdis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True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Whether this bucket is part of a Personal Data Information System under 152-FZ</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Depends on what data the system processes — not derivable from storage config</w:t>
            </w:r>
          </w:p>
        </w:tc>
      </w:tr>
    </w:tbl>
    <w:p>
      <w:pPr>
        <w:spacing w:after="0" w:before="0"/>
      </w:pPr>
      <w:r>
        <w:t xml:space="preserve"/>
      </w:r>
    </w:p>
    <w:p>
      <w:pPr>
        <w:pStyle w:val="Heading3"/>
        <w:pBdr>
          <w:left w:val="single" w:color="2E75B6" w:sz="16" w:space="4"/>
        </w:pBdr>
        <w:spacing w:after="80" w:before="200"/>
        <w:ind w:left="180"/>
      </w:pPr>
      <w:r>
        <w:rPr>
          <w:rFonts w:ascii="Arial" w:cs="Arial" w:eastAsia="Arial" w:hAnsi="Arial"/>
          <w:b/>
          <w:bCs/>
          <w:color w:val="1B3A6B"/>
          <w:sz w:val="22"/>
          <w:szCs w:val="22"/>
        </w:rPr>
        <w:t xml:space="preserve">Requirements for Mode A</w:t>
      </w:r>
    </w:p>
    <w:p>
      <w:pPr>
        <w:spacing w:after="80" w:before="80"/>
        <w:ind w:left="180"/>
        <w:jc w:val="both"/>
      </w:pPr>
      <w:r>
        <w:rPr>
          <w:rFonts w:ascii="Arial" w:cs="Arial" w:eastAsia="Arial" w:hAnsi="Arial"/>
          <w:color w:val="1A1A1A"/>
          <w:sz w:val="20"/>
          <w:szCs w:val="20"/>
        </w:rPr>
        <w:t xml:space="preserve">An active AWS account (free tier sufficient for testing). The boto3 library installed (pip install boto3). AWS credentials configured either via the AWS CLI (aws configure) or environment variables (AWS_ACCESS_KEY_ID, AWS_SECRET_ACCESS_KEY, AWS_DEFAULT_REGION). Read-only S3 permissions on the target bucket: GetBucketLocation, GetEncryptionConfiguration, GetBucketPublicAccessBlock, GetBucketVersioning, GetBucketLogging, GetLifecycleConfiguration, GetBucketPolicy.</w:t>
      </w:r>
    </w:p>
    <w:p>
      <w:pPr>
        <w:spacing w:after="0" w:before="0"/>
      </w:pPr>
      <w:r>
        <w:t xml:space="preserve"/>
      </w:r>
    </w:p>
    <w:p>
      <w:pPr>
        <w:pStyle w:val="Heading3"/>
        <w:pBdr>
          <w:left w:val="single" w:color="2E75B6" w:sz="16" w:space="4"/>
        </w:pBdr>
        <w:spacing w:after="80" w:before="200"/>
        <w:ind w:left="180"/>
      </w:pPr>
      <w:r>
        <w:rPr>
          <w:rFonts w:ascii="Arial" w:cs="Arial" w:eastAsia="Arial" w:hAnsi="Arial"/>
          <w:b/>
          <w:bCs/>
          <w:color w:val="1B3A6B"/>
          <w:sz w:val="22"/>
          <w:szCs w:val="22"/>
        </w:rPr>
        <w:t xml:space="preserve">Mode A Usage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1B3A6B" w:sz="20"/>
              <w:bottom w:val="single" w:color="CCCCCC" w:sz="1"/>
              <w:right w:val="single" w:color="CCCCCC" w:sz="1"/>
            </w:tcBorders>
            <w:shd w:fill="1E2233" w:val="clear"/>
            <w:tcMar>
              <w:top w:type="dxa" w:w="120"/>
              <w:left w:type="dxa" w:w="200"/>
              <w:bottom w:type="dxa" w:w="120"/>
              <w:right w:type="dxa" w:w="120"/>
            </w:tcMar>
          </w:tcPr>
          <w:p>
            <w:pPr>
              <w:spacing w:after="20" w:before="20"/>
            </w:pPr>
            <w:r>
              <w:rPr>
                <w:rFonts w:ascii="Courier New" w:cs="Courier New" w:eastAsia="Courier New" w:hAnsi="Courier New"/>
                <w:color w:val="A8D8A8"/>
                <w:sz w:val="17"/>
                <w:szCs w:val="17"/>
              </w:rPr>
              <w:t xml:space="preserve"># Configure credentials</w:t>
            </w:r>
          </w:p>
          <w:p>
            <w:pPr>
              <w:spacing w:after="20" w:before="20"/>
            </w:pPr>
            <w:r>
              <w:rPr>
                <w:rFonts w:ascii="Courier New" w:cs="Courier New" w:eastAsia="Courier New" w:hAnsi="Courier New"/>
                <w:color w:val="A8D8A8"/>
                <w:sz w:val="17"/>
                <w:szCs w:val="17"/>
              </w:rPr>
              <w:t xml:space="preserve">aws configure</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Or via environment variables</w:t>
            </w:r>
          </w:p>
          <w:p>
            <w:pPr>
              <w:spacing w:after="20" w:before="20"/>
            </w:pPr>
            <w:r>
              <w:rPr>
                <w:rFonts w:ascii="Courier New" w:cs="Courier New" w:eastAsia="Courier New" w:hAnsi="Courier New"/>
                <w:color w:val="A8D8A8"/>
                <w:sz w:val="17"/>
                <w:szCs w:val="17"/>
              </w:rPr>
              <w:t xml:space="preserve">export AWS_ACCESS_KEY_ID=AKIA...</w:t>
            </w:r>
          </w:p>
          <w:p>
            <w:pPr>
              <w:spacing w:after="20" w:before="20"/>
            </w:pPr>
            <w:r>
              <w:rPr>
                <w:rFonts w:ascii="Courier New" w:cs="Courier New" w:eastAsia="Courier New" w:hAnsi="Courier New"/>
                <w:color w:val="A8D8A8"/>
                <w:sz w:val="17"/>
                <w:szCs w:val="17"/>
              </w:rPr>
              <w:t xml:space="preserve">export AWS_SECRET_ACCESS_KEY=...</w:t>
            </w:r>
          </w:p>
          <w:p>
            <w:pPr>
              <w:spacing w:after="20" w:before="20"/>
            </w:pPr>
            <w:r>
              <w:rPr>
                <w:rFonts w:ascii="Courier New" w:cs="Courier New" w:eastAsia="Courier New" w:hAnsi="Courier New"/>
                <w:color w:val="A8D8A8"/>
                <w:sz w:val="17"/>
                <w:szCs w:val="17"/>
              </w:rPr>
              <w:t xml:space="preserve">export AWS_DEFAULT_REGION=us-east-1</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Run against a real bucket</w:t>
            </w:r>
          </w:p>
          <w:p>
            <w:pPr>
              <w:spacing w:after="20" w:before="20"/>
            </w:pPr>
            <w:r>
              <w:rPr>
                <w:rFonts w:ascii="Courier New" w:cs="Courier New" w:eastAsia="Courier New" w:hAnsi="Courier New"/>
                <w:color w:val="A8D8A8"/>
                <w:sz w:val="17"/>
                <w:szCs w:val="17"/>
              </w:rPr>
              <w:t xml:space="preserve">python compliance_scanner.py --mode a --bucket your-bucket-name</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Specify region explicitly</w:t>
            </w:r>
          </w:p>
          <w:p>
            <w:pPr>
              <w:spacing w:after="20" w:before="20"/>
            </w:pPr>
            <w:r>
              <w:rPr>
                <w:rFonts w:ascii="Courier New" w:cs="Courier New" w:eastAsia="Courier New" w:hAnsi="Courier New"/>
                <w:color w:val="A8D8A8"/>
                <w:sz w:val="17"/>
                <w:szCs w:val="17"/>
              </w:rPr>
              <w:t xml:space="preserve">python compliance_scanner.py --mode a --bucket your-bucket --region eu-west-1</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Override data subject origin</w:t>
            </w:r>
          </w:p>
          <w:p>
            <w:pPr>
              <w:spacing w:after="20" w:before="20"/>
            </w:pPr>
            <w:r>
              <w:rPr>
                <w:rFonts w:ascii="Courier New" w:cs="Courier New" w:eastAsia="Courier New" w:hAnsi="Courier New"/>
                <w:color w:val="A8D8A8"/>
                <w:sz w:val="17"/>
                <w:szCs w:val="17"/>
              </w:rPr>
              <w:t xml:space="preserve">python compliance_scanner.py --mode a --bucket your-bucket --origin russian</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Export to JSON</w:t>
            </w:r>
          </w:p>
          <w:p>
            <w:pPr>
              <w:spacing w:after="20" w:before="20"/>
            </w:pPr>
            <w:r>
              <w:rPr>
                <w:rFonts w:ascii="Courier New" w:cs="Courier New" w:eastAsia="Courier New" w:hAnsi="Courier New"/>
                <w:color w:val="A8D8A8"/>
                <w:sz w:val="17"/>
                <w:szCs w:val="17"/>
              </w:rPr>
              <w:t xml:space="preserve">python compliance_scanner.py --mode a --bucket your-bucket --json report.json</w:t>
            </w:r>
          </w:p>
        </w:tc>
      </w:tr>
    </w:tbl>
    <w:p>
      <w:pPr>
        <w:spacing w:after="0" w:before="0"/>
      </w:pPr>
      <w:r>
        <w:t xml:space="preserve"/>
      </w:r>
    </w:p>
    <w:p>
      <w:pPr>
        <w:pStyle w:val="Heading2"/>
        <w:shd w:fill="2E75B6" w:val="clear"/>
        <w:spacing w:after="120" w:before="280"/>
        <w:ind w:left="180"/>
      </w:pPr>
      <w:r>
        <w:rPr>
          <w:rFonts w:ascii="Arial" w:cs="Arial" w:eastAsia="Arial" w:hAnsi="Arial"/>
          <w:b/>
          <w:bCs/>
          <w:color w:val="FFFFFF"/>
          <w:sz w:val="26"/>
          <w:szCs w:val="26"/>
        </w:rPr>
        <w:t xml:space="preserve">5.2  Mode B — Simulated Configuration</w:t>
      </w:r>
    </w:p>
    <w:p>
      <w:pPr>
        <w:spacing w:after="80" w:before="80"/>
        <w:ind w:left="180"/>
        <w:jc w:val="both"/>
      </w:pPr>
      <w:r>
        <w:rPr>
          <w:rFonts w:ascii="Arial" w:cs="Arial" w:eastAsia="Arial" w:hAnsi="Arial"/>
          <w:color w:val="1A1A1A"/>
          <w:sz w:val="20"/>
          <w:szCs w:val="20"/>
        </w:rPr>
        <w:t xml:space="preserve">Mode B runs the same compliance checks against a hardcoded Python dictionary representing a bucket configuration. No network connection is made. No credentials are required. The dictionary values are predefined in the script and reflect configurations a developer would realistically produce under different compliance postures.</w:t>
      </w:r>
    </w:p>
    <w:p>
      <w:pPr>
        <w:spacing w:after="0" w:before="0"/>
      </w:pPr>
      <w:r>
        <w:t xml:space="preserve"/>
      </w:r>
    </w:p>
    <w:p>
      <w:pPr>
        <w:spacing w:after="80" w:before="80"/>
        <w:ind w:left="180"/>
        <w:jc w:val="both"/>
      </w:pPr>
      <w:r>
        <w:rPr>
          <w:rFonts w:ascii="Arial" w:cs="Arial" w:eastAsia="Arial" w:hAnsi="Arial"/>
          <w:color w:val="1A1A1A"/>
          <w:sz w:val="20"/>
          <w:szCs w:val="20"/>
        </w:rPr>
        <w:t xml:space="preserve">Four scenarios are provided: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200"/>
        <w:gridCol w:w="1000"/>
        <w:gridCol w:w="700"/>
        <w:gridCol w:w="900"/>
        <w:gridCol w:w="900"/>
        <w:gridCol w:w="700"/>
        <w:gridCol w:w="20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Scenario</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Region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Encryption</w:t>
            </w:r>
          </w:p>
        </w:tc>
        <w:tc>
          <w:tcPr>
            <w:tcW w:type="dxa" w:w="1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Public Access</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Logging</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Versioning</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Retention</w:t>
            </w:r>
          </w:p>
        </w:tc>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HTTPS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Purpose</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mixed</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us-east-1</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AES256</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Blocked</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Off</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Off</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Off</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Realistic — partial compliance, multiple failures, all 6 conflicts active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ru-central1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GOST R 34.12-2015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Blocked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Hypothetical fully dual-compliant config — demonstrates what satisfying both laws looks like</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fail</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eu-west-1</w:t>
            </w:r>
          </w:p>
        </w:tc>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None</w:t>
            </w:r>
          </w:p>
        </w:tc>
        <w:tc>
          <w:tcPr>
            <w:tcW w:type="dxa" w:w="1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Open</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Off</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Off</w:t>
            </w:r>
          </w:p>
        </w:tc>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Off</w:t>
            </w:r>
          </w:p>
        </w:tc>
        <w:tc>
          <w:tcPr>
            <w:tcW w:type="dxa" w:w="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Off</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All checks fail — demonstrates every failure mode simultaneously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india_only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ap-south-1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AES256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Blocked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Indian users only — only DPDPA checks apply, 152-FZ checks skipped</w:t>
            </w:r>
          </w:p>
        </w:tc>
      </w:tr>
    </w:tbl>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color="FFFFFF" w:sz="0"/>
              <w:left w:val="single" w:color="D4830A" w:sz="20"/>
              <w:bottom w:val="none" w:color="FFFFFF" w:sz="0"/>
              <w:right w:val="none" w:color="FFFFFF" w:sz="0"/>
            </w:tcBorders>
            <w:shd w:fill="FEF5E7" w:val="clear"/>
            <w:tcMar>
              <w:top w:type="dxa" w:w="100"/>
              <w:left w:type="dxa" w:w="180"/>
              <w:bottom w:type="dxa" w:w="100"/>
              <w:right w:type="dxa" w:w="100"/>
            </w:tcMar>
          </w:tcPr>
          <w:p>
            <w:r>
              <w:rPr>
                <w:rFonts w:ascii="Arial" w:cs="Arial" w:eastAsia="Arial" w:hAnsi="Arial"/>
                <w:color w:val="1A1A1A"/>
                <w:sz w:val="19"/>
                <w:szCs w:val="19"/>
              </w:rPr>
              <w:t xml:space="preserve">The mixed scenario represents a typical default AWS S3 deployment — AES-256 encryption enabled (AWS default since 2023), US-East-1 region (most common default), public access blocked (AWS default since 2023), with versioning, logging, retention policies, and HTTPS enforcement absent (all require manual configuration). This reflects what a developer would produce without explicit dual-jurisdiction compliance consideration.</w:t>
            </w:r>
          </w:p>
        </w:tc>
      </w:tr>
    </w:tbl>
    <w:p>
      <w:pPr>
        <w:spacing w:after="0" w:before="0"/>
      </w:pPr>
      <w:r>
        <w:t xml:space="preserve"/>
      </w:r>
    </w:p>
    <w:p>
      <w:pPr>
        <w:pStyle w:val="Heading3"/>
        <w:pBdr>
          <w:left w:val="single" w:color="2E75B6" w:sz="16" w:space="4"/>
        </w:pBdr>
        <w:spacing w:after="80" w:before="200"/>
        <w:ind w:left="180"/>
      </w:pPr>
      <w:r>
        <w:rPr>
          <w:rFonts w:ascii="Arial" w:cs="Arial" w:eastAsia="Arial" w:hAnsi="Arial"/>
          <w:b/>
          <w:bCs/>
          <w:color w:val="1B3A6B"/>
          <w:sz w:val="22"/>
          <w:szCs w:val="22"/>
        </w:rPr>
        <w:t xml:space="preserve">Mode B Usage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1B3A6B" w:sz="20"/>
              <w:bottom w:val="single" w:color="CCCCCC" w:sz="1"/>
              <w:right w:val="single" w:color="CCCCCC" w:sz="1"/>
            </w:tcBorders>
            <w:shd w:fill="1E2233" w:val="clear"/>
            <w:tcMar>
              <w:top w:type="dxa" w:w="120"/>
              <w:left w:type="dxa" w:w="200"/>
              <w:bottom w:type="dxa" w:w="120"/>
              <w:right w:type="dxa" w:w="120"/>
            </w:tcMar>
          </w:tcPr>
          <w:p>
            <w:pPr>
              <w:spacing w:after="20" w:before="20"/>
            </w:pPr>
            <w:r>
              <w:rPr>
                <w:rFonts w:ascii="Courier New" w:cs="Courier New" w:eastAsia="Courier New" w:hAnsi="Courier New"/>
                <w:color w:val="A8D8A8"/>
                <w:sz w:val="17"/>
                <w:szCs w:val="17"/>
              </w:rPr>
              <w:t xml:space="preserve"># Default: mixed scenario</w:t>
            </w:r>
          </w:p>
          <w:p>
            <w:pPr>
              <w:spacing w:after="20" w:before="20"/>
            </w:pPr>
            <w:r>
              <w:rPr>
                <w:rFonts w:ascii="Courier New" w:cs="Courier New" w:eastAsia="Courier New" w:hAnsi="Courier New"/>
                <w:color w:val="A8D8A8"/>
                <w:sz w:val="17"/>
                <w:szCs w:val="17"/>
              </w:rPr>
              <w:t xml:space="preserve">python compliance_scanner.py --mode b</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Specific scenarios</w:t>
            </w:r>
          </w:p>
          <w:p>
            <w:pPr>
              <w:spacing w:after="20" w:before="20"/>
            </w:pPr>
            <w:r>
              <w:rPr>
                <w:rFonts w:ascii="Courier New" w:cs="Courier New" w:eastAsia="Courier New" w:hAnsi="Courier New"/>
                <w:color w:val="A8D8A8"/>
                <w:sz w:val="17"/>
                <w:szCs w:val="17"/>
              </w:rPr>
              <w:t xml:space="preserve">python compliance_scanner.py --mode b --scenario mixed</w:t>
            </w:r>
          </w:p>
          <w:p>
            <w:pPr>
              <w:spacing w:after="20" w:before="20"/>
            </w:pPr>
            <w:r>
              <w:rPr>
                <w:rFonts w:ascii="Courier New" w:cs="Courier New" w:eastAsia="Courier New" w:hAnsi="Courier New"/>
                <w:color w:val="A8D8A8"/>
                <w:sz w:val="17"/>
                <w:szCs w:val="17"/>
              </w:rPr>
              <w:t xml:space="preserve">python compliance_scanner.py --mode b --scenario pass</w:t>
            </w:r>
          </w:p>
          <w:p>
            <w:pPr>
              <w:spacing w:after="20" w:before="20"/>
            </w:pPr>
            <w:r>
              <w:rPr>
                <w:rFonts w:ascii="Courier New" w:cs="Courier New" w:eastAsia="Courier New" w:hAnsi="Courier New"/>
                <w:color w:val="A8D8A8"/>
                <w:sz w:val="17"/>
                <w:szCs w:val="17"/>
              </w:rPr>
              <w:t xml:space="preserve">python compliance_scanner.py --mode b --scenario fail</w:t>
            </w:r>
          </w:p>
          <w:p>
            <w:pPr>
              <w:spacing w:after="20" w:before="20"/>
            </w:pPr>
            <w:r>
              <w:rPr>
                <w:rFonts w:ascii="Courier New" w:cs="Courier New" w:eastAsia="Courier New" w:hAnsi="Courier New"/>
                <w:color w:val="A8D8A8"/>
                <w:sz w:val="17"/>
                <w:szCs w:val="17"/>
              </w:rPr>
              <w:t xml:space="preserve">python compliance_scanner.py --mode b --scenario india_only</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Override origin</w:t>
            </w:r>
          </w:p>
          <w:p>
            <w:pPr>
              <w:spacing w:after="20" w:before="20"/>
            </w:pPr>
            <w:r>
              <w:rPr>
                <w:rFonts w:ascii="Courier New" w:cs="Courier New" w:eastAsia="Courier New" w:hAnsi="Courier New"/>
                <w:color w:val="A8D8A8"/>
                <w:sz w:val="17"/>
                <w:szCs w:val="17"/>
              </w:rPr>
              <w:t xml:space="preserve">python compliance_scanner.py --mode b --scenario mixed --origin russian</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Export to JSON</w:t>
            </w:r>
          </w:p>
          <w:p>
            <w:pPr>
              <w:spacing w:after="20" w:before="20"/>
            </w:pPr>
            <w:r>
              <w:rPr>
                <w:rFonts w:ascii="Courier New" w:cs="Courier New" w:eastAsia="Courier New" w:hAnsi="Courier New"/>
                <w:color w:val="A8D8A8"/>
                <w:sz w:val="17"/>
                <w:szCs w:val="17"/>
              </w:rPr>
              <w:t xml:space="preserve">python compliance_scanner.py --mode b --scenario mixed --json report.json</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Disable colour (for piping or logging)</w:t>
            </w:r>
          </w:p>
          <w:p>
            <w:pPr>
              <w:spacing w:after="20" w:before="20"/>
            </w:pPr>
            <w:r>
              <w:rPr>
                <w:rFonts w:ascii="Courier New" w:cs="Courier New" w:eastAsia="Courier New" w:hAnsi="Courier New"/>
                <w:color w:val="A8D8A8"/>
                <w:sz w:val="17"/>
                <w:szCs w:val="17"/>
              </w:rPr>
              <w:t xml:space="preserve">python compliance_scanner.py --mode b --scenario mixed --no-colour</w:t>
            </w:r>
          </w:p>
        </w:tc>
      </w:tr>
    </w:tbl>
    <w:p>
      <w:pPr>
        <w:spacing w:after="0" w:before="0"/>
      </w:pPr>
      <w:r>
        <w:t xml:space="preserve"/>
      </w:r>
    </w:p>
    <w:p>
      <w:pPr>
        <w:pStyle w:val="Heading2"/>
        <w:shd w:fill="1A6B5E" w:val="clear"/>
        <w:spacing w:after="120" w:before="280"/>
        <w:ind w:left="180"/>
      </w:pPr>
      <w:r>
        <w:rPr>
          <w:rFonts w:ascii="Arial" w:cs="Arial" w:eastAsia="Arial" w:hAnsi="Arial"/>
          <w:b/>
          <w:bCs/>
          <w:color w:val="FFFFFF"/>
          <w:sz w:val="26"/>
          <w:szCs w:val="26"/>
        </w:rPr>
        <w:t xml:space="preserve">5.3  Google Colab (Browser-based, No Local Setup)</w:t>
      </w:r>
    </w:p>
    <w:p>
      <w:pPr>
        <w:spacing w:after="80" w:before="80"/>
        <w:ind w:left="180"/>
        <w:jc w:val="both"/>
      </w:pPr>
      <w:r>
        <w:rPr>
          <w:rFonts w:ascii="Arial" w:cs="Arial" w:eastAsia="Arial" w:hAnsi="Arial"/>
          <w:color w:val="1A1A1A"/>
          <w:sz w:val="20"/>
          <w:szCs w:val="20"/>
        </w:rPr>
        <w:t xml:space="preserve">The tool can be run directly in Google Colab without any local installation. This is suitable for demonstration, classroom use, and research reproducibility.</w:t>
      </w:r>
    </w:p>
    <w:p>
      <w:pPr>
        <w:spacing w:after="0" w:before="0"/>
      </w:pPr>
      <w:r>
        <w:t xml:space="preserve"/>
      </w:r>
    </w:p>
    <w:p>
      <w:pPr>
        <w:pStyle w:val="Heading3"/>
        <w:pBdr>
          <w:left w:val="single" w:color="2E75B6" w:sz="16" w:space="4"/>
        </w:pBdr>
        <w:spacing w:after="80" w:before="200"/>
        <w:ind w:left="180"/>
      </w:pPr>
      <w:r>
        <w:rPr>
          <w:rFonts w:ascii="Arial" w:cs="Arial" w:eastAsia="Arial" w:hAnsi="Arial"/>
          <w:b/>
          <w:bCs/>
          <w:color w:val="1B3A6B"/>
          <w:sz w:val="22"/>
          <w:szCs w:val="22"/>
        </w:rPr>
        <w:t xml:space="preserve">Colab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1B3A6B" w:sz="20"/>
              <w:bottom w:val="single" w:color="CCCCCC" w:sz="1"/>
              <w:right w:val="single" w:color="CCCCCC" w:sz="1"/>
            </w:tcBorders>
            <w:shd w:fill="1E2233" w:val="clear"/>
            <w:tcMar>
              <w:top w:type="dxa" w:w="120"/>
              <w:left w:type="dxa" w:w="200"/>
              <w:bottom w:type="dxa" w:w="120"/>
              <w:right w:type="dxa" w:w="120"/>
            </w:tcMar>
          </w:tcPr>
          <w:p>
            <w:pPr>
              <w:spacing w:after="20" w:before="20"/>
            </w:pPr>
            <w:r>
              <w:rPr>
                <w:rFonts w:ascii="Courier New" w:cs="Courier New" w:eastAsia="Courier New" w:hAnsi="Courier New"/>
                <w:color w:val="A8D8A8"/>
                <w:sz w:val="17"/>
                <w:szCs w:val="17"/>
              </w:rPr>
              <w:t xml:space="preserve"># Cell 1 — Paste the script content (everything above def build_parser)</w:t>
            </w:r>
          </w:p>
          <w:p>
            <w:pPr>
              <w:spacing w:after="20" w:before="20"/>
            </w:pPr>
            <w:r>
              <w:rPr>
                <w:rFonts w:ascii="Courier New" w:cs="Courier New" w:eastAsia="Courier New" w:hAnsi="Courier New"/>
                <w:color w:val="A8D8A8"/>
                <w:sz w:val="17"/>
                <w:szCs w:val="17"/>
              </w:rPr>
              <w:t xml:space="preserve"># Then add at the very end of Cell 1:</w:t>
            </w:r>
          </w:p>
          <w:p>
            <w:pPr>
              <w:spacing w:after="20" w:before="20"/>
            </w:pPr>
            <w:r>
              <w:rPr>
                <w:rFonts w:ascii="Courier New" w:cs="Courier New" w:eastAsia="Courier New" w:hAnsi="Courier New"/>
                <w:color w:val="A8D8A8"/>
                <w:sz w:val="17"/>
                <w:szCs w:val="17"/>
              </w:rPr>
              <w:t xml:space="preserve">USE_COLOUR = False</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Run Cell 1 with Shift+Enter — no output means success</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Cell 2 — Run mixed scenario (Figure 2 in paper)</w:t>
            </w:r>
          </w:p>
          <w:p>
            <w:pPr>
              <w:spacing w:after="20" w:before="20"/>
            </w:pPr>
            <w:r>
              <w:rPr>
                <w:rFonts w:ascii="Courier New" w:cs="Courier New" w:eastAsia="Courier New" w:hAnsi="Courier New"/>
                <w:color w:val="A8D8A8"/>
                <w:sz w:val="17"/>
                <w:szCs w:val="17"/>
              </w:rPr>
              <w:t xml:space="preserve">config    = dict(SIMULATED_CONFIGS["mixed"])</w:t>
            </w:r>
          </w:p>
          <w:p>
            <w:pPr>
              <w:spacing w:after="20" w:before="20"/>
            </w:pPr>
            <w:r>
              <w:rPr>
                <w:rFonts w:ascii="Courier New" w:cs="Courier New" w:eastAsia="Courier New" w:hAnsi="Courier New"/>
                <w:color w:val="A8D8A8"/>
                <w:sz w:val="17"/>
                <w:szCs w:val="17"/>
              </w:rPr>
              <w:t xml:space="preserve">checks    = run_checks(config)</w:t>
            </w:r>
          </w:p>
          <w:p>
            <w:pPr>
              <w:spacing w:after="20" w:before="20"/>
            </w:pPr>
            <w:r>
              <w:rPr>
                <w:rFonts w:ascii="Courier New" w:cs="Courier New" w:eastAsia="Courier New" w:hAnsi="Courier New"/>
                <w:color w:val="A8D8A8"/>
                <w:sz w:val="17"/>
                <w:szCs w:val="17"/>
              </w:rPr>
              <w:t xml:space="preserve">conflicts = analyse_conflicts(config, checks)</w:t>
            </w:r>
          </w:p>
          <w:p>
            <w:pPr>
              <w:spacing w:after="20" w:before="20"/>
            </w:pPr>
            <w:r>
              <w:rPr>
                <w:rFonts w:ascii="Courier New" w:cs="Courier New" w:eastAsia="Courier New" w:hAnsi="Courier New"/>
                <w:color w:val="A8D8A8"/>
                <w:sz w:val="17"/>
                <w:szCs w:val="17"/>
              </w:rPr>
              <w:t xml:space="preserve">summary   = render_report(config, checks, conflicts)</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Cell 3 — Run pass scenario</w:t>
            </w:r>
          </w:p>
          <w:p>
            <w:pPr>
              <w:spacing w:after="20" w:before="20"/>
            </w:pPr>
            <w:r>
              <w:rPr>
                <w:rFonts w:ascii="Courier New" w:cs="Courier New" w:eastAsia="Courier New" w:hAnsi="Courier New"/>
                <w:color w:val="A8D8A8"/>
                <w:sz w:val="17"/>
                <w:szCs w:val="17"/>
              </w:rPr>
              <w:t xml:space="preserve">config    = dict(SIMULATED_CONFIGS["pass"])</w:t>
            </w:r>
          </w:p>
          <w:p>
            <w:pPr>
              <w:spacing w:after="20" w:before="20"/>
            </w:pPr>
            <w:r>
              <w:rPr>
                <w:rFonts w:ascii="Courier New" w:cs="Courier New" w:eastAsia="Courier New" w:hAnsi="Courier New"/>
                <w:color w:val="A8D8A8"/>
                <w:sz w:val="17"/>
                <w:szCs w:val="17"/>
              </w:rPr>
              <w:t xml:space="preserve">checks    = run_checks(config)</w:t>
            </w:r>
          </w:p>
          <w:p>
            <w:pPr>
              <w:spacing w:after="20" w:before="20"/>
            </w:pPr>
            <w:r>
              <w:rPr>
                <w:rFonts w:ascii="Courier New" w:cs="Courier New" w:eastAsia="Courier New" w:hAnsi="Courier New"/>
                <w:color w:val="A8D8A8"/>
                <w:sz w:val="17"/>
                <w:szCs w:val="17"/>
              </w:rPr>
              <w:t xml:space="preserve">conflicts = analyse_conflicts(config, checks)</w:t>
            </w:r>
          </w:p>
          <w:p>
            <w:pPr>
              <w:spacing w:after="20" w:before="20"/>
            </w:pPr>
            <w:r>
              <w:rPr>
                <w:rFonts w:ascii="Courier New" w:cs="Courier New" w:eastAsia="Courier New" w:hAnsi="Courier New"/>
                <w:color w:val="A8D8A8"/>
                <w:sz w:val="17"/>
                <w:szCs w:val="17"/>
              </w:rPr>
              <w:t xml:space="preserve">summary   = render_report(config, checks, conflicts)</w:t>
            </w:r>
          </w:p>
        </w:tc>
      </w:tr>
    </w:tbl>
    <w:p>
      <w:pPr>
        <w:spacing w:after="0" w:before="0"/>
      </w:pPr>
      <w:r>
        <w:t xml:space="preserve"/>
      </w:r>
    </w:p>
    <w:p>
      <w:pPr>
        <w:pBdr>
          <w:bottom w:val="single" w:color="2E75B6"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6. Output Format and Interpretation</w:t>
      </w:r>
    </w:p>
    <w:p>
      <w:pPr>
        <w:pStyle w:val="Heading2"/>
        <w:shd w:fill="2E75B6" w:val="clear"/>
        <w:spacing w:after="120" w:before="280"/>
        <w:ind w:left="180"/>
      </w:pPr>
      <w:r>
        <w:rPr>
          <w:rFonts w:ascii="Arial" w:cs="Arial" w:eastAsia="Arial" w:hAnsi="Arial"/>
          <w:b/>
          <w:bCs/>
          <w:color w:val="FFFFFF"/>
          <w:sz w:val="26"/>
          <w:szCs w:val="26"/>
        </w:rPr>
        <w:t xml:space="preserve">6.1  Status Codes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2400"/>
      </w:tblGrid>
      <w:tr>
        <w:trPr>
          <w:tblHeader/>
        </w:trPr>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c>
          <w:tcPr>
            <w:tcW w:type="dxa" w:w="5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Meaning</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Colour</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PASS</w:t>
            </w:r>
          </w:p>
        </w:tc>
        <w:tc>
          <w:tcPr>
            <w:tcW w:type="dxa" w:w="5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configuration satisfies this clause requirement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Green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FAIL</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configuration violates this clause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Red</w:t>
            </w:r>
          </w:p>
        </w:tc>
      </w:tr>
      <w:tr>
        <w:tc>
          <w:tcPr>
            <w:tcW w:type="dxa" w:w="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WARN</w:t>
            </w:r>
          </w:p>
        </w:tc>
        <w:tc>
          <w:tcPr>
            <w:tcW w:type="dxa" w:w="5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configuration partially satisfies the requirement but a dimension does not — typically AES detected where GOST is required</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Yellow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SKIP</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check is not applicable to this configuration — e.g. 152-FZ GOST check skipped for Indian-only deployments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Grey</w:t>
            </w:r>
          </w:p>
        </w:tc>
      </w:tr>
    </w:tbl>
    <w:p>
      <w:pPr>
        <w:spacing w:after="0" w:before="0"/>
      </w:pPr>
      <w:r>
        <w:t xml:space="preserve"/>
      </w:r>
    </w:p>
    <w:p>
      <w:pPr>
        <w:pStyle w:val="Heading2"/>
        <w:shd w:fill="2E75B6" w:val="clear"/>
        <w:spacing w:after="120" w:before="280"/>
        <w:ind w:left="180"/>
      </w:pPr>
      <w:r>
        <w:rPr>
          <w:rFonts w:ascii="Arial" w:cs="Arial" w:eastAsia="Arial" w:hAnsi="Arial"/>
          <w:b/>
          <w:bCs/>
          <w:color w:val="FFFFFF"/>
          <w:sz w:val="26"/>
          <w:szCs w:val="26"/>
        </w:rPr>
        <w:t xml:space="preserve">6.2  Overall Posture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0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Posture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Condition</w:t>
            </w:r>
          </w:p>
        </w:tc>
        <w:tc>
          <w:tcPr>
            <w:tcW w:type="dxa" w:w="4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Meaning</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COMPLIANT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 failures, 0 active conflicts</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Configuration satisfies all applicable checks and triggers no inter-law conflicts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PARTIAL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1–2 failures or 1–2 active conflicts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Some remediation required — not critically non-compliant</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NON-COMPLIANT</w:t>
            </w:r>
          </w:p>
        </w:tc>
        <w:tc>
          <w:tcPr>
            <w:tcW w:type="dxa" w:w="2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3+ failures or 3+ active conflicts</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Significant compliance gaps — immediate remediation required</w:t>
            </w:r>
          </w:p>
        </w:tc>
      </w:tr>
    </w:tbl>
    <w:p>
      <w:pPr>
        <w:spacing w:after="0" w:before="0"/>
      </w:pPr>
      <w:r>
        <w:t xml:space="preserve"/>
      </w:r>
    </w:p>
    <w:p>
      <w:pPr>
        <w:pStyle w:val="Heading2"/>
        <w:shd w:fill="2E75B6" w:val="clear"/>
        <w:spacing w:after="120" w:before="280"/>
        <w:ind w:left="180"/>
      </w:pPr>
      <w:r>
        <w:rPr>
          <w:rFonts w:ascii="Arial" w:cs="Arial" w:eastAsia="Arial" w:hAnsi="Arial"/>
          <w:b/>
          <w:bCs/>
          <w:color w:val="FFFFFF"/>
          <w:sz w:val="26"/>
          <w:szCs w:val="26"/>
        </w:rPr>
        <w:t xml:space="preserve">6.3  JSON Export</w:t>
      </w:r>
    </w:p>
    <w:p>
      <w:pPr>
        <w:spacing w:after="80" w:before="80"/>
        <w:ind w:left="180"/>
        <w:jc w:val="both"/>
      </w:pPr>
      <w:r>
        <w:rPr>
          <w:rFonts w:ascii="Arial" w:cs="Arial" w:eastAsia="Arial" w:hAnsi="Arial"/>
          <w:color w:val="1A1A1A"/>
          <w:sz w:val="20"/>
          <w:szCs w:val="20"/>
        </w:rPr>
        <w:t xml:space="preserve">The --json flag exports the full report as a structured JSON file containing: scanner version and timestamp, the complete target configuration dictionary, all check results with clause ID, status, detail, and recommendation, all conflict results with conflict ID, laws in tension, status, and recommendation, and a summary object with counts per status category.</w:t>
      </w:r>
    </w:p>
    <w:p>
      <w:pPr>
        <w:spacing w:after="0" w:before="0"/>
      </w:pPr>
      <w:r>
        <w:t xml:space="preserve"/>
      </w:r>
    </w:p>
    <w:p>
      <w:pPr>
        <w:spacing w:after="80" w:before="80"/>
        <w:ind w:left="180"/>
        <w:jc w:val="both"/>
      </w:pPr>
      <w:r>
        <w:rPr>
          <w:rFonts w:ascii="Arial" w:cs="Arial" w:eastAsia="Arial" w:hAnsi="Arial"/>
          <w:color w:val="1A1A1A"/>
          <w:sz w:val="20"/>
          <w:szCs w:val="20"/>
        </w:rPr>
        <w:t xml:space="preserve">The JSON output is suitable for ingestion into compliance dashboards, regulatory evidence archives, or further programmatic analysis.</w:t>
      </w:r>
    </w:p>
    <w:p>
      <w:pPr>
        <w:spacing w:after="0" w:before="0"/>
      </w:pPr>
      <w:r>
        <w:t xml:space="preserve"/>
      </w:r>
    </w:p>
    <w:p>
      <w:pPr>
        <w:pBdr>
          <w:bottom w:val="single" w:color="2E75B6"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7. Research Methodology — For Paper Use</w:t>
      </w:r>
    </w:p>
    <w:p>
      <w:pPr>
        <w:pStyle w:val="Heading2"/>
        <w:shd w:fill="1A6B5E" w:val="clear"/>
        <w:spacing w:after="120" w:before="280"/>
        <w:ind w:left="180"/>
      </w:pPr>
      <w:r>
        <w:rPr>
          <w:rFonts w:ascii="Arial" w:cs="Arial" w:eastAsia="Arial" w:hAnsi="Arial"/>
          <w:b/>
          <w:bCs/>
          <w:color w:val="FFFFFF"/>
          <w:sz w:val="26"/>
          <w:szCs w:val="26"/>
        </w:rPr>
        <w:t xml:space="preserve">7.1  How to Describe This Tool in Your Paper</w:t>
      </w:r>
    </w:p>
    <w:p>
      <w:pPr>
        <w:spacing w:after="80" w:before="80"/>
        <w:ind w:left="180"/>
        <w:jc w:val="both"/>
      </w:pPr>
      <w:r>
        <w:rPr>
          <w:rFonts w:ascii="Arial" w:cs="Arial" w:eastAsia="Arial" w:hAnsi="Arial"/>
          <w:color w:val="1A1A1A"/>
          <w:sz w:val="20"/>
          <w:szCs w:val="20"/>
        </w:rPr>
        <w:t xml:space="preserve">The following text is provided as a draft methodology section that can be adapted directly into the research paper:</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1B3A6B" w:sz="20"/>
              <w:bottom w:val="single" w:color="CCCCCC" w:sz="1"/>
              <w:right w:val="single" w:color="CCCCCC" w:sz="1"/>
            </w:tcBorders>
            <w:shd w:fill="D6E4F0" w:val="clear"/>
            <w:tcMar>
              <w:top w:type="dxa" w:w="120"/>
              <w:left w:type="dxa" w:w="200"/>
              <w:bottom w:type="dxa" w:w="120"/>
              <w:right w:type="dxa" w:w="120"/>
            </w:tcMar>
          </w:tcPr>
          <w:p>
            <w:pPr>
              <w:spacing w:after="100" w:before="60"/>
            </w:pPr>
            <w:r>
              <w:rPr>
                <w:rFonts w:ascii="Arial" w:cs="Arial" w:eastAsia="Arial" w:hAnsi="Arial"/>
                <w:b/>
                <w:bCs/>
                <w:color w:val="1B3A6B"/>
                <w:sz w:val="18"/>
                <w:szCs w:val="18"/>
              </w:rPr>
              <w:t xml:space="preserve">DRAFT METHODOLOGY TEXT — COPY AND ADAPT</w:t>
            </w:r>
          </w:p>
          <w:p>
            <w:pPr>
              <w:spacing w:after="80" w:before="60"/>
              <w:jc w:val="both"/>
            </w:pPr>
            <w:r>
              <w:rPr>
                <w:rFonts w:ascii="Arial" w:cs="Arial" w:eastAsia="Arial" w:hAnsi="Arial"/>
                <w:sz w:val="19"/>
                <w:szCs w:val="19"/>
              </w:rPr>
              <w:t xml:space="preserve">To validate that the six conflicts identified in Section 4 are detectable from concrete infrastructure configuration parameters, a proof-of-concept compliance evaluation tool was developed in Python. The scanner accepts a cloud storage bucket configuration as input — either fetched in real time from AWS S3 via the boto3 API or provided as a structured dictionary for simulated evaluation — and evaluates it against nine clause-level checks derived from the DPDPA 2023 / 152-FZ compliance matrix. It additionally evaluates six inter-law conflict conditions corresponding directly to the conflicts documented in Section 4.</w:t>
            </w:r>
          </w:p>
          <w:p>
            <w:pPr>
              <w:spacing w:after="80" w:before="60"/>
              <w:jc w:val="both"/>
            </w:pPr>
            <w:r>
              <w:rPr>
                <w:rFonts w:ascii="Arial" w:cs="Arial" w:eastAsia="Arial" w:hAnsi="Arial"/>
                <w:sz w:val="19"/>
                <w:szCs w:val="19"/>
              </w:rPr>
              <w:t xml:space="preserve">The tool was evaluated against a simulated configuration representing a typical default AWS S3 deployment: AES-256 encryption, US-East-1 region, public access blocked, with versioning, access logging, retention policies, and HTTPS enforcement absent. This configuration reflects what a developer would produce when deploying cloud storage for a dual-jurisdiction application without explicit compliance consideration. The scanner correctly identified four clause-level failures, one warning, and triggered all six inter-law conflicts documented in Section 4.</w:t>
            </w:r>
          </w:p>
          <w:p>
            <w:pPr>
              <w:spacing w:after="60" w:before="60"/>
              <w:jc w:val="both"/>
            </w:pPr>
            <w:r>
              <w:rPr>
                <w:rFonts w:ascii="Arial" w:cs="Arial" w:eastAsia="Arial" w:hAnsi="Arial"/>
                <w:sz w:val="19"/>
                <w:szCs w:val="19"/>
              </w:rPr>
              <w:t xml:space="preserve">It is noted that the tool operates on declared configuration values and does not constitute a legal compliance determination. The data_subject_origin and is_pdis parameters, which cannot be auto-detected from bucket configuration, were declared as 'both' and True respectively — the conservative defaults that apply when a system serves users from both jurisdictions and processes personal data in a regulated context.</w:t>
            </w:r>
          </w:p>
        </w:tc>
      </w:tr>
    </w:tbl>
    <w:p>
      <w:pPr>
        <w:spacing w:after="0" w:before="0"/>
      </w:pPr>
      <w:r>
        <w:t xml:space="preserve"/>
      </w:r>
    </w:p>
    <w:p>
      <w:pPr>
        <w:pStyle w:val="Heading2"/>
        <w:shd w:fill="2E75B6" w:val="clear"/>
        <w:spacing w:after="120" w:before="280"/>
        <w:ind w:left="180"/>
      </w:pPr>
      <w:r>
        <w:rPr>
          <w:rFonts w:ascii="Arial" w:cs="Arial" w:eastAsia="Arial" w:hAnsi="Arial"/>
          <w:b/>
          <w:bCs/>
          <w:color w:val="FFFFFF"/>
          <w:sz w:val="26"/>
          <w:szCs w:val="26"/>
        </w:rPr>
        <w:t xml:space="preserve">7.2  What to Screenshot for Figures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5900"/>
      </w:tblGrid>
      <w:tr>
        <w:trPr>
          <w:tblHeader/>
        </w:trPr>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Figure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Scenario to Run</w:t>
            </w:r>
          </w:p>
        </w:tc>
        <w:tc>
          <w:tcPr>
            <w:tcW w:type="dxa" w:w="5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It Shows</w:t>
            </w:r>
          </w:p>
        </w:tc>
      </w:tr>
      <w:tr>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Figure 2 — Main scanner output</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mixed</w:t>
            </w:r>
          </w:p>
        </w:tc>
        <w:tc>
          <w:tcPr>
            <w:tcW w:type="dxa" w:w="5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4/9 PASS, 4/9 FAIL, 1/9 WARN, 6/6 conflicts ACTIVE — demonstrates all six conflicts are simultaneously measurable from a single realistic configuration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Figure 3 — Compliant configuration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pass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9/9 PASS, 2/6 conflicts ACTIVE (CONFLICT-01 and CONFLICT-06 remain contextual) — demonstrates what satisfying both laws simultaneously requires architecturally</w:t>
            </w:r>
          </w:p>
        </w:tc>
      </w:tr>
      <w:tr>
        <w:tc>
          <w:tcPr>
            <w:tcW w:type="dxa" w:w="13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Appendix — All-fail demonstration</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fail</w:t>
            </w:r>
          </w:p>
        </w:tc>
        <w:tc>
          <w:tcPr>
            <w:tcW w:type="dxa" w:w="59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0/9 PASS, all conflicts ACTIVE — shows every failure mode for completeness</w:t>
            </w:r>
          </w:p>
        </w:tc>
      </w:tr>
    </w:tbl>
    <w:p>
      <w:pPr>
        <w:spacing w:after="0" w:before="0"/>
      </w:pPr>
      <w:r>
        <w:t xml:space="preserve"/>
      </w:r>
    </w:p>
    <w:p>
      <w:pPr>
        <w:pStyle w:val="Heading2"/>
        <w:shd w:fill="2E75B6" w:val="clear"/>
        <w:spacing w:after="120" w:before="280"/>
        <w:ind w:left="180"/>
      </w:pPr>
      <w:r>
        <w:rPr>
          <w:rFonts w:ascii="Arial" w:cs="Arial" w:eastAsia="Arial" w:hAnsi="Arial"/>
          <w:b/>
          <w:bCs/>
          <w:color w:val="FFFFFF"/>
          <w:sz w:val="26"/>
          <w:szCs w:val="26"/>
        </w:rPr>
        <w:t xml:space="preserve">7.3  Limitations to Acknowledge in Paper</w:t>
      </w:r>
    </w:p>
    <w:p>
      <w:pPr>
        <w:spacing w:after="80" w:before="80"/>
        <w:ind w:left="180"/>
        <w:jc w:val="both"/>
      </w:pPr>
      <w:r>
        <w:rPr>
          <w:rFonts w:ascii="Arial" w:cs="Arial" w:eastAsia="Arial" w:hAnsi="Arial"/>
          <w:color w:val="1A1A1A"/>
          <w:sz w:val="20"/>
          <w:szCs w:val="20"/>
        </w:rPr>
        <w:t xml:space="preserve">The following limitations should be stated in the paper's methodology section:</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Limitation</w:t>
            </w:r>
          </w:p>
        </w:tc>
        <w:tc>
          <w:tcPr>
            <w:tcW w:type="dxa" w:w="6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to Frame It in Paper</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Static regulatory constants</w:t>
            </w:r>
          </w:p>
        </w:tc>
        <w:tc>
          <w:tcPr>
            <w:tcW w:type="dxa" w:w="6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DPDPA blacklist and Russian regions list are defined as static constants. No public API exists for real-time regulatory lookups from either the Indian Ministry of Electronics or Roskomnadzor as of the time of writing.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Scope limited to 9 checks</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tool covers the configuration-level checks most directly relevant to the six identified conflicts. Full compliance with either law involves additional application-layer controls (consent pipelines, breach notification systems, erasure workflows) that are outside the scope of bucket-level configuration scanning.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Two declared parameters</w:t>
            </w:r>
          </w:p>
        </w:tc>
        <w:tc>
          <w:tcPr>
            <w:tcW w:type="dxa" w:w="6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data_subject_origin and is_pdis cannot be determined from storage configuration alone. Their values depend on the operator's knowledge of the application's user base and data processing activities.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CONFLICT-06 is contextual</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ADM conflict cannot be evaluated from bucket configuration. It is flagged whenever Russian data subjects are in scope as a contextual advisory — the actual conflict depends on whether downstream systems perform automated decision-making.</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Mode B uses simulated data</w:t>
            </w:r>
          </w:p>
        </w:tc>
        <w:tc>
          <w:tcPr>
            <w:tcW w:type="dxa" w:w="6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primary evaluation used a simulated configuration rather than a live production system. The simulation was designed to reflect realistic defaults but does not represent any specific real-world deployment.</w:t>
            </w:r>
          </w:p>
        </w:tc>
      </w:tr>
    </w:tbl>
    <w:p>
      <w:pPr>
        <w:spacing w:after="0" w:before="0"/>
      </w:pPr>
      <w:r>
        <w:t xml:space="preserve"/>
      </w:r>
    </w:p>
    <w:p>
      <w:pPr>
        <w:pBdr>
          <w:bottom w:val="single" w:color="2E75B6"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8. Installation and Dependencies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4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Dependency</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Required For</w:t>
            </w:r>
          </w:p>
        </w:tc>
        <w:tc>
          <w:tcPr>
            <w:tcW w:type="dxa" w:w="5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How to Install</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Python 3.8+</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Both modes</w:t>
            </w:r>
          </w:p>
        </w:tc>
        <w:tc>
          <w:tcPr>
            <w:tcW w:type="dxa" w:w="5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Pre-installed on most systems; python3 --version to check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boto3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Mode A only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pip install boto3</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AWS CLI</w:t>
            </w:r>
          </w:p>
        </w:tc>
        <w:tc>
          <w:tcPr>
            <w:tcW w:type="dxa" w:w="1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Mode A (credential setup)</w:t>
            </w:r>
          </w:p>
        </w:tc>
        <w:tc>
          <w:tcPr>
            <w:tcW w:type="dxa" w:w="5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pip install awscli  then  aws configure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No other dependencies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Mode B</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The script uses only Python standard library modules</w:t>
            </w:r>
          </w:p>
        </w:tc>
      </w:tr>
    </w:tbl>
    <w:p>
      <w:pPr>
        <w:spacing w:after="0" w:before="0"/>
      </w:pPr>
      <w:r>
        <w:t xml:space="preserve"/>
      </w:r>
    </w:p>
    <w:p>
      <w:pPr>
        <w:pStyle w:val="Heading3"/>
        <w:pBdr>
          <w:left w:val="single" w:color="2E75B6" w:sz="16" w:space="4"/>
        </w:pBdr>
        <w:spacing w:after="80" w:before="200"/>
        <w:ind w:left="180"/>
      </w:pPr>
      <w:r>
        <w:rPr>
          <w:rFonts w:ascii="Arial" w:cs="Arial" w:eastAsia="Arial" w:hAnsi="Arial"/>
          <w:b/>
          <w:bCs/>
          <w:color w:val="1B3A6B"/>
          <w:sz w:val="22"/>
          <w:szCs w:val="22"/>
        </w:rPr>
        <w:t xml:space="preserve">Quick Start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1B3A6B" w:sz="20"/>
              <w:bottom w:val="single" w:color="CCCCCC" w:sz="1"/>
              <w:right w:val="single" w:color="CCCCCC" w:sz="1"/>
            </w:tcBorders>
            <w:shd w:fill="1E2233" w:val="clear"/>
            <w:tcMar>
              <w:top w:type="dxa" w:w="120"/>
              <w:left w:type="dxa" w:w="200"/>
              <w:bottom w:type="dxa" w:w="120"/>
              <w:right w:type="dxa" w:w="120"/>
            </w:tcMar>
          </w:tcPr>
          <w:p>
            <w:pPr>
              <w:spacing w:after="20" w:before="20"/>
            </w:pPr>
            <w:r>
              <w:rPr>
                <w:rFonts w:ascii="Courier New" w:cs="Courier New" w:eastAsia="Courier New" w:hAnsi="Courier New"/>
                <w:color w:val="A8D8A8"/>
                <w:sz w:val="17"/>
                <w:szCs w:val="17"/>
              </w:rPr>
              <w:t xml:space="preserve"># Mode B — no setup required</w:t>
            </w:r>
          </w:p>
          <w:p>
            <w:pPr>
              <w:spacing w:after="20" w:before="20"/>
            </w:pPr>
            <w:r>
              <w:rPr>
                <w:rFonts w:ascii="Courier New" w:cs="Courier New" w:eastAsia="Courier New" w:hAnsi="Courier New"/>
                <w:color w:val="A8D8A8"/>
                <w:sz w:val="17"/>
                <w:szCs w:val="17"/>
              </w:rPr>
              <w:t xml:space="preserve">python compliance_scanner.py --mode b --scenario mixed</w:t>
            </w:r>
          </w:p>
          <w:p>
            <w:pPr>
              <w:spacing w:after="20" w:before="20"/>
            </w:pPr>
            <w:r>
              <w:rPr>
                <w:rFonts w:ascii="Courier New" w:cs="Courier New" w:eastAsia="Courier New" w:hAnsi="Courier New"/>
                <w:color w:val="A8D8A8"/>
                <w:sz w:val="17"/>
                <w:szCs w:val="17"/>
              </w:rPr>
              <w:t xml:space="preserve"> </w:t>
            </w:r>
          </w:p>
          <w:p>
            <w:pPr>
              <w:spacing w:after="20" w:before="20"/>
            </w:pPr>
            <w:r>
              <w:rPr>
                <w:rFonts w:ascii="Courier New" w:cs="Courier New" w:eastAsia="Courier New" w:hAnsi="Courier New"/>
                <w:color w:val="A8D8A8"/>
                <w:sz w:val="17"/>
                <w:szCs w:val="17"/>
              </w:rPr>
              <w:t xml:space="preserve"># Mode A — install boto3 and configure credentials first</w:t>
            </w:r>
          </w:p>
          <w:p>
            <w:pPr>
              <w:spacing w:after="20" w:before="20"/>
            </w:pPr>
            <w:r>
              <w:rPr>
                <w:rFonts w:ascii="Courier New" w:cs="Courier New" w:eastAsia="Courier New" w:hAnsi="Courier New"/>
                <w:color w:val="A8D8A8"/>
                <w:sz w:val="17"/>
                <w:szCs w:val="17"/>
              </w:rPr>
              <w:t xml:space="preserve">pip install boto3</w:t>
            </w:r>
          </w:p>
          <w:p>
            <w:pPr>
              <w:spacing w:after="20" w:before="20"/>
            </w:pPr>
            <w:r>
              <w:rPr>
                <w:rFonts w:ascii="Courier New" w:cs="Courier New" w:eastAsia="Courier New" w:hAnsi="Courier New"/>
                <w:color w:val="A8D8A8"/>
                <w:sz w:val="17"/>
                <w:szCs w:val="17"/>
              </w:rPr>
              <w:t xml:space="preserve">aws configure</w:t>
            </w:r>
          </w:p>
          <w:p>
            <w:pPr>
              <w:spacing w:after="20" w:before="20"/>
            </w:pPr>
            <w:r>
              <w:rPr>
                <w:rFonts w:ascii="Courier New" w:cs="Courier New" w:eastAsia="Courier New" w:hAnsi="Courier New"/>
                <w:color w:val="A8D8A8"/>
                <w:sz w:val="17"/>
                <w:szCs w:val="17"/>
              </w:rPr>
              <w:t xml:space="preserve">python compliance_scanner.py --mode a --bucket your-bucket-name</w:t>
            </w:r>
          </w:p>
        </w:tc>
      </w:tr>
    </w:tbl>
    <w:p>
      <w:pPr>
        <w:spacing w:after="0" w:before="0"/>
      </w:pPr>
      <w:r>
        <w:t xml:space="preserve"/>
      </w:r>
    </w:p>
    <w:p>
      <w:pPr>
        <w:pBdr>
          <w:bottom w:val="single" w:color="2E75B6" w:sz="8" w:space="1"/>
        </w:pBdr>
        <w:spacing w:after="200" w:before="80"/>
      </w:pPr>
      <w:r>
        <w:t xml:space="preserve"/>
      </w:r>
    </w:p>
    <w:p>
      <w:pPr>
        <w:pStyle w:val="Heading1"/>
        <w:shd w:fill="1B3A6B" w:val="clear"/>
        <w:spacing w:after="160" w:before="360"/>
        <w:ind w:left="180"/>
      </w:pPr>
      <w:r>
        <w:rPr>
          <w:rFonts w:ascii="Arial" w:cs="Arial" w:eastAsia="Arial" w:hAnsi="Arial"/>
          <w:b/>
          <w:bCs/>
          <w:color w:val="FFFFFF"/>
          <w:sz w:val="32"/>
          <w:szCs w:val="32"/>
        </w:rPr>
        <w:t xml:space="preserve">9. Citation and Legal References</w:t>
      </w:r>
    </w:p>
    <w:p>
      <w:pPr>
        <w:pStyle w:val="Heading2"/>
        <w:shd w:fill="1A6B5E" w:val="clear"/>
        <w:spacing w:after="120" w:before="280"/>
        <w:ind w:left="180"/>
      </w:pPr>
      <w:r>
        <w:rPr>
          <w:rFonts w:ascii="Arial" w:cs="Arial" w:eastAsia="Arial" w:hAnsi="Arial"/>
          <w:b/>
          <w:bCs/>
          <w:color w:val="FFFFFF"/>
          <w:sz w:val="26"/>
          <w:szCs w:val="26"/>
        </w:rPr>
        <w:t xml:space="preserve">9.1  How to Cite This Tool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120"/>
            </w:tcMar>
          </w:tcPr>
          <w:p>
            <w:r>
              <w:rPr>
                <w:rFonts w:ascii="Courier New" w:cs="Courier New" w:eastAsia="Courier New" w:hAnsi="Courier New"/>
                <w:color w:val="1A1A1A"/>
                <w:sz w:val="19"/>
                <w:szCs w:val="19"/>
              </w:rPr>
              <w:t xml:space="preserve">Jadhav, Y. (2026). Dual-Jurisdiction Cloud Storage Compliance Scanner [Software]. Research tool developed for comparative analysis of cloud data localisation under India's DPDPA 2023 and Russia's Federal Law 152-FZ / 242-FZ. ITMO University / Parul University.</w:t>
            </w:r>
          </w:p>
        </w:tc>
      </w:tr>
    </w:tbl>
    <w:p>
      <w:pPr>
        <w:spacing w:after="0" w:before="0"/>
      </w:pPr>
      <w:r>
        <w:t xml:space="preserve"/>
      </w:r>
    </w:p>
    <w:p>
      <w:pPr>
        <w:pStyle w:val="Heading2"/>
        <w:shd w:fill="2E75B6" w:val="clear"/>
        <w:spacing w:after="120" w:before="280"/>
        <w:ind w:left="180"/>
      </w:pPr>
      <w:r>
        <w:rPr>
          <w:rFonts w:ascii="Arial" w:cs="Arial" w:eastAsia="Arial" w:hAnsi="Arial"/>
          <w:b/>
          <w:bCs/>
          <w:color w:val="FFFFFF"/>
          <w:sz w:val="26"/>
          <w:szCs w:val="26"/>
        </w:rPr>
        <w:t xml:space="preserve">9.2  Legal References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Reference</w:t>
            </w:r>
          </w:p>
        </w:tc>
        <w:tc>
          <w:tcPr>
            <w:tcW w:type="dxa" w:w="7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Full Citation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DPDPA 2023</w:t>
            </w:r>
          </w:p>
        </w:tc>
        <w:tc>
          <w:tcPr>
            <w:tcW w:type="dxa" w:w="7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Digital Personal Data Protection Act, 2023 (India). No. 22 of 2023. Ministry of Electronics and Information Technology, Government of India.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152-FZ</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Federal Law No. 152-FZ of July 27, 2006 on Personal Data. State Duma of the Russian Federation.</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242-FZ</w:t>
            </w:r>
          </w:p>
        </w:tc>
        <w:tc>
          <w:tcPr>
            <w:tcW w:type="dxa" w:w="7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Federal Law No. 242-FZ of July 21, 2014 (Data Localisation Amendment to 152-FZ). Effective September 1, 2015.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PP-1119</w:t>
            </w:r>
          </w:p>
        </w:tc>
        <w:tc>
          <w:tcPr>
            <w:tcW w:type="dxa" w:w="7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Government of the Russian Federation Decree No. 1119 of November 1, 2012. Requirements for Personal Data Protection in PDIS.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FSTEC Order 21</w:t>
            </w:r>
          </w:p>
        </w:tc>
        <w:tc>
          <w:tcPr>
            <w:tcW w:type="dxa" w:w="7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pPr>
              <w:jc w:val="left"/>
            </w:pPr>
            <w:r>
              <w:rPr>
                <w:rFonts w:ascii="Arial" w:cs="Arial" w:eastAsia="Arial" w:hAnsi="Arial"/>
                <w:b w:val="false"/>
                <w:bCs w:val="false"/>
                <w:color w:val="1A1A1A"/>
                <w:sz w:val="18"/>
                <w:szCs w:val="18"/>
              </w:rPr>
              <w:t xml:space="preserve">Order of the Federal Service for Technical and Export Control No. 21 of February 18, 2013. Composition and Content of Organisational and Technical Measures for PDIS Security.</w:t>
            </w:r>
          </w:p>
        </w:tc>
      </w:tr>
    </w:tbl>
    <w:p>
      <w:pPr>
        <w:spacing w:after="0" w:before="0"/>
      </w:pPr>
      <w:r>
        <w:t xml:space="preserve"/>
      </w:r>
    </w:p>
    <w:p>
      <w:pPr>
        <w:pBdr>
          <w:bottom w:val="single" w:color="2E75B6" w:sz="8" w:space="1"/>
        </w:pBdr>
        <w:spacing w:after="200" w:before="80"/>
      </w:pPr>
      <w:r>
        <w:t xml:space="preserve"/>
      </w:r>
    </w:p>
    <w:p>
      <w:pPr>
        <w:spacing w:after="60" w:before="120"/>
        <w:ind w:left="180"/>
      </w:pPr>
      <w:r>
        <w:rPr>
          <w:rFonts w:ascii="Arial" w:cs="Arial" w:eastAsia="Arial" w:hAnsi="Arial"/>
          <w:b/>
          <w:bCs/>
          <w:color w:val="555555"/>
          <w:sz w:val="20"/>
          <w:szCs w:val="20"/>
        </w:rPr>
        <w:t xml:space="preserve">Disclaimer</w:t>
      </w:r>
    </w:p>
    <w:p>
      <w:pPr>
        <w:spacing w:after="80" w:before="80"/>
        <w:ind w:left="180"/>
        <w:jc w:val="both"/>
      </w:pPr>
      <w:r>
        <w:rPr>
          <w:rFonts w:ascii="Arial" w:cs="Arial" w:eastAsia="Arial" w:hAnsi="Arial"/>
          <w:color w:val="1A1A1A"/>
          <w:sz w:val="20"/>
          <w:szCs w:val="20"/>
        </w:rPr>
        <w:t xml:space="preserve">This tool was developed for academic research purposes. It is not a commercial product, not a certified compliance solution, and not a substitute for professional legal or security advice. The author makes no warranty as to the accuracy or completeness of the compliance checks relative to the full text of either law. All findings produced by this tool are for research and informational purposes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00"/>
      </w:tabs>
    </w:pPr>
    <w:r>
      <w:rPr>
        <w:rFonts w:ascii="Arial" w:cs="Arial" w:eastAsia="Arial" w:hAnsi="Arial"/>
        <w:color w:val="555555"/>
        <w:sz w:val="16"/>
        <w:szCs w:val="16"/>
      </w:rPr>
      <w:t xml:space="preserve">For academic research use  |  Dual-Jurisdiction Cloud Compliance Study</w:t>
    </w:r>
    <w:r>
      <w:rPr>
        <w:rFonts w:ascii="Arial" w:cs="Arial" w:eastAsia="Arial" w:hAnsi="Arial"/>
      </w:rPr>
      <w:tab/>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00"/>
      </w:tabs>
    </w:pPr>
    <w:r>
      <w:rPr>
        <w:rFonts w:ascii="Arial" w:cs="Arial" w:eastAsia="Arial" w:hAnsi="Arial"/>
        <w:color w:val="555555"/>
        <w:sz w:val="16"/>
        <w:szCs w:val="16"/>
      </w:rPr>
      <w:t xml:space="preserve">Compliance Scanner Documentation  —  DPDPA 2023 + 152-FZ / 242-FZ</w:t>
    </w:r>
    <w:r>
      <w:rPr>
        <w:rFonts w:ascii="Arial" w:cs="Arial" w:eastAsia="Arial" w:hAnsi="Arial"/>
      </w:rPr>
      <w:tab/>
    </w:r>
    <w:r>
      <w:rPr>
        <w:rFonts w:ascii="Arial" w:cs="Arial" w:eastAsia="Arial" w:hAnsi="Arial"/>
        <w:b/>
        <w:bCs/>
        <w:color w:val="1B3A6B"/>
        <w:sz w:val="16"/>
        <w:szCs w:val="16"/>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FFFFFF"/>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2026-03-23T10:04:00.387Z</dcterms:created>
  <dcterms:modified xsi:type="dcterms:W3CDTF">2026-03-23T10:04:00.388Z</dcterms:modified>
</cp:coreProperties>
</file>

<file path=docProps/custom.xml><?xml version="1.0" encoding="utf-8"?>
<Properties xmlns="http://schemas.openxmlformats.org/officeDocument/2006/custom-properties" xmlns:vt="http://schemas.openxmlformats.org/officeDocument/2006/docPropsVTypes"/>
</file>