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AI-Powered Invoice Risk Scanner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Full Project Plan — Problem Framing, Pipeline, Tech Stack, Folder Structure</w:t>
      </w:r>
    </w:p>
    <w:p>
      <w:pPr>
        <w:spacing w:after="300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Hackathon build · Team of 3 · 36 hours · FinTech track</w:t>
      </w:r>
    </w:p>
    <w:p>
      <w:pPr>
        <w:pStyle w:val="Heading1"/>
        <w:spacing w:after="160" w:before="360"/>
      </w:pPr>
      <w:r>
        <w:t xml:space="preserve">1. Product Framing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An AI-powered invoice risk screening layer for MSMEs and audit teams that replaces sample-based auditing (typically 10–20% coverage) with 100% rule-based screening across every invoice, using AI only where deterministic logic genuinely runs out. This keeps cost low enough to actually process thousands of invoices, not just a demo handful.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Core design principle used throughout: rule → cache → AI, in that order, for every feature. A deterministic check runs first (free, instant). A cached prior decision is reused where one exists (free after first occurrence). AI is called only on what's left — the genuinely ambiguous remainder — and even then, output is requested as structured JSON, batched by pattern where possible, to keep responses short and cheap.</w:t>
      </w:r>
    </w:p>
    <w:p>
      <w:pPr>
        <w:pStyle w:val="Heading2"/>
        <w:spacing w:after="120" w:before="280"/>
      </w:pPr>
      <w:r>
        <w:t xml:space="preserve">Problem statement coverage check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860"/>
      </w:tblGrid>
      <w:tr>
        <w:trPr>
          <w:tblHeader/>
        </w:trPr>
        <w:tc>
          <w:tcPr>
            <w:tcW w:type="dxa" w:w="6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8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Covered by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 invoice number, date, vendor, GSTIN, taxable value, tax, total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Extraction engine (Stage 2)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invoices to ledger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Reconciliation engine (Stage 4)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 duplicates, missing records, amount/date mismatch, invalid GSTIN, unusual vendor activity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Reconciliation &amp; fraud detection (Stage 4)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 every exception to source doc with confidence/risk score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Ticket audit trail, dual score (Stage 5 &amp; 7)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Prioritized exception dashboard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Dashboard, sorted/filtered by score (Stage 7)</w:t>
            </w:r>
          </w:p>
        </w:tc>
      </w:tr>
      <w:tr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Searchable audit trail</w:t>
            </w:r>
          </w:p>
        </w:tc>
        <w:tc>
          <w:tcPr>
            <w:tcW w:type="dxa" w:w="28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 search + ticket history (Stage 7)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t xml:space="preserve">2. Full Pipeline</w:t>
      </w:r>
    </w:p>
    <w:p>
      <w:pPr>
        <w:pStyle w:val="Heading2"/>
        <w:spacing w:after="120" w:before="280"/>
      </w:pPr>
      <w:r>
        <w:t xml:space="preserve">Stage 1 —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Accepts PDF, PNG, JPG — single file or batch/folder upload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File-format validation gate (tier 1): corrupted, empty, or wrong-format files rejected instantly, no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Content-sniff check (tier 2): OCR finds essentially nothing → flagged as “not a valid invoice,” no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Genuinely ambiguous remainder (tier 3): the only point AI touches ingestion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Batch result is one summary, not per-file prompts — e.g. “15 of 200 couldn’t be processed, here’s why” → user chooses skip / retry / review, logged either way so the audit trail stays honest about coverage</w:t>
      </w:r>
    </w:p>
    <w:p>
      <w:pPr>
        <w:pStyle w:val="Heading2"/>
        <w:spacing w:after="120" w:before="280"/>
      </w:pPr>
      <w:r>
        <w:t xml:space="preserve">Stage 2 — Extraction (tiered — this is the token-cost core)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Tesseract / PaddleOCR as free local baseline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Gemini vision fallback only on low-confidence or messy-layout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Extracts: invoice number, date, vendor name, GSTIN, taxable value, CGST/SGST/IGST breakdown, total amount, PO number, line items where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field carries its own confidence score (0–100%), not just the invoice overall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Field-criticality tiering: missing invoice number / vendor / total = hard block; missing a soft field (e.g. PO reference) = confidence hit only, not a block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Internal math check: taxable_value + tax_amount == total_amount — catches manually forged PDFs for free, no AI</w:t>
      </w:r>
    </w:p>
    <w:p>
      <w:pPr>
        <w:pStyle w:val="Heading2"/>
        <w:spacing w:after="120" w:before="280"/>
      </w:pPr>
      <w:r>
        <w:t xml:space="preserve">Stage 3 — Classification &amp; sorting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Vendor/industry auto-classified on first appearance (one AI call or manual entry), then cached — every future invoice from that vendor sorts for free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Auto-sorted into folders by vendor/category; no identifiable vendor → “extra” folder; missing critical data → “needs review” folder regardless of vendor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User can create custom folders and manually reassign anything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Full-scan pass cross-checks every filed invoice’s actual data against its folder, flags mismatches — pure lookup/comparison, no AI</w:t>
      </w:r>
    </w:p>
    <w:p>
      <w:pPr>
        <w:pStyle w:val="Heading2"/>
        <w:spacing w:after="120" w:before="280"/>
      </w:pPr>
      <w:r>
        <w:t xml:space="preserve">Stage 4 — Reconciliation &amp; fraud detection (all rule-based, zero AI cost per invoice)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Duplicate detection: hash tier first (normalized invoice number + vendor GSTIN + amount + date), then rapidfuzz fuzzy tier scoped to same-vendor/similar-amount only — catches exact repeats and near-duplicate typos (e.g. “INV-2214” vs “INV-22l4”)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Sequence-gap detection: per-vendor invoice-numbering profile (only applied to vendors proven to number sequentially); a missing #97 between #96 and #98 gets flagged even with no ledger mismatch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Ledger match: invoice ↔ ledger, invoice ↔ vendor master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GSTIN regex + checksum validation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Inter/intra-state GST type check: compare vendor and buyer state codes (first 2 digits of GSTIN) to verify CGST+SGST vs IGST was charged correctly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Amount mismatch, date mismatch (configurable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Phantom/unlisted vendor detection (not in vendor master)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Typo-squatting detection: fuzzy vendor-name match at 80–95% similarity — close enough to be deliberate impersonation, not identical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 activity anomaly: frequency/amount vs that vendor’s own history (z-score/IQR), off-hours or weekend invoice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Benford’s Law check: first-digit distribution of a vendor’s invoice amounts vs the expected logarithmic curve — flags fabricated number patterns; needs enough data points, so the synthetic dataset needs volume per vendor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PDF metadata tamper scan (pikepdf): flags Photoshop/Canva/iLovePDF in creator metadata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Invisible-text scan (PyMuPDF): flags near-invisible or off-page text designed to fool an AI extractor</w:t>
      </w:r>
    </w:p>
    <w:p>
      <w:pPr>
        <w:pStyle w:val="Heading2"/>
        <w:spacing w:after="120" w:before="280"/>
      </w:pPr>
      <w:r>
        <w:t xml:space="preserve">Stage 5 — Scoring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score (0–100, weighted sum of failed checks) → Low / Medium / High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Confidence score (extraction certainty) — a genuinely separate axis, never blended into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Explainable breakdown: every point on the risk score traceable to the specific check that added it, no black 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ITC-at-risk ₹: sum of tax_amount across all critically-flagged invoices, shown as a single dashboard metric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45-day MSME penalty estimate: for invoices unpaid past 45 days, disallowed expense × 30% as an estimated tax penalty</w:t>
      </w:r>
    </w:p>
    <w:p>
      <w:pPr>
        <w:pStyle w:val="Heading2"/>
        <w:spacing w:after="120" w:before="280"/>
      </w:pPr>
      <w:r>
        <w:t xml:space="preserve">Stage 6 — AI layer (only touches what’s left after every rule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Narrative explanation per flagged exception, batched by pattern where possible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Merge-reason text when two related tickets are proposed for merging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MSME plain-language translation layer, toggled per user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AI call outputs structured JSON, not prose — keeps responses short and cheap</w:t>
      </w:r>
    </w:p>
    <w:p>
      <w:pPr>
        <w:pStyle w:val="Heading2"/>
        <w:spacing w:after="120" w:before="280"/>
      </w:pPr>
      <w:r>
        <w:t xml:space="preserve">Stage 7 — Audit trail &amp;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system: open / in-review / resolved / escalated, linked to source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Human-in-the-loop everywhere it matters: approve/reject AI findings, false-positive marking with reason, merge confirmation, resolution notes — nothing closes or merges silently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SHA-256 hash sealing on every finalized record — a “cryptographically sealed” badge that breaks if the record is edited afterward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Dashboard as landing view: total processed/valid/invalid/needs-review, exceptions by type, processing-time stat, risk distribution, vendor analytics, search by invoice/vendor/GSTIN, filters by risk/date/amount/issue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Invoice detail page with original document preview side-by-side with extracted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export: filtered PDF snapshot, exception report, vendor risk report</w:t>
      </w:r>
    </w:p>
    <w:p>
      <w:pPr>
        <w:pStyle w:val="Heading2"/>
        <w:spacing w:after="120" w:before="280"/>
      </w:pPr>
      <w:r>
        <w:t xml:space="preserve">Forms — every point AI defers to a human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AI should never be the sole source of truth for anything with legal or financial consequence. Concretely, forms exist at: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Vendor onboarding / correction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Extraction field correction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Bulk-ingestion decision (skip / retry / review)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Folder reassignment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Merge confirmation with editable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Ticket resolution with mandatory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False-positive marking with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Report generation parameters (date range, risk threshold, exception types)</w:t>
      </w:r>
    </w:p>
    <w:p>
      <w:pPr>
        <w:pStyle w:val="Heading1"/>
        <w:spacing w:after="160" w:before="360"/>
      </w:pPr>
      <w:r>
        <w:t xml:space="preserve">3. Feature Tiers</w:t>
      </w:r>
    </w:p>
    <w:p>
      <w:pPr>
        <w:pStyle w:val="Heading2"/>
        <w:spacing w:after="120" w:before="280"/>
      </w:pPr>
      <w:r>
        <w:t xml:space="preserve">Core — must all work, this is the actual problem statement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Batch multi-format upload · tiered extraction with confidence scoring · field normalization · internal math check · ledger/vendor-master matching · hash+fuzzy duplicate detection · sequence-gap detection · GSTIN validation · amount/date mismatch · phantom vendor detection · typo-squatting detection · dual risk/confidence scoring with explainable breakdown · ticket-based audit trail with human review · auto-classification/folder sorting with full-scan check · dashboard with stats/search/filters · ingestion validation gate with bulk decision · synthetic dataset generator.</w:t>
      </w:r>
    </w:p>
    <w:p>
      <w:pPr>
        <w:pStyle w:val="Heading2"/>
        <w:spacing w:after="120" w:before="280"/>
      </w:pPr>
      <w:r>
        <w:t xml:space="preserve">Should-have — build in this order after core is stable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1. ITC-at-risk ₹ card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2. 45-day MSME penalty predictor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3. Inter/intra-state GST type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4. PDF metadata tamper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5. Invisible-text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6. SHA-256 sealing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7. Benford’s Law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8. Vendor timeline / off-hours anomaly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9. AI-assisted ticket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10. Auditor / MSME mode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11. 1-click dispute auto-draft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12. Bounding-box document visualizer — attempt last, real engineering risk relative to demo payoff</w:t>
      </w:r>
    </w:p>
    <w:p>
      <w:pPr>
        <w:pStyle w:val="Heading2"/>
        <w:spacing w:after="120" w:before="280"/>
      </w:pPr>
      <w:r>
        <w:t xml:space="preserve">Stretch — low regret if cut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Split-PO structuring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Scoped canned-template natural-language dashboard search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Unit-price variance check</w:t>
      </w:r>
    </w:p>
    <w:p>
      <w:pPr>
        <w:pStyle w:val="Heading2"/>
        <w:spacing w:after="120" w:before="280"/>
      </w:pPr>
      <w:r>
        <w:t xml:space="preserve">Cut — real dependency or scope risk, don’t attempt in 36h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E-way bill distance API · FX exchange-rate API · WHOIS domain-age lookup · circular-billing network graph · containerization · free-form AI copilot · custom OCR model training · WhatsApp integration.</w:t>
      </w:r>
    </w:p>
    <w:p>
      <w:pPr>
        <w:spacing w:after="140"/>
      </w:pP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Most of these share the same failure mode: a live third-party API call that can break mid-demo for reasons unrelated to the team’s own work. Not worth the risk against 24+ strong dependency-free features already in scope.</w:t>
      </w:r>
    </w:p>
    <w:p>
      <w:pPr>
        <w:pStyle w:val="Heading1"/>
        <w:spacing w:after="160" w:before="360"/>
      </w:pPr>
      <w:r>
        <w:t xml:space="preserve">4. Tech Stack</w:t>
      </w:r>
    </w:p>
    <w:tbl>
      <w:tblPr>
        <w:tblW w:type="dxa" w:w="9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4160"/>
      </w:tblGrid>
      <w:tr>
        <w:trPr>
          <w:tblHeader/>
        </w:trPr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9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16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Install / 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FastAPI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fastapi uvicorn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handling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Pandas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pandas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OCR (local baseline)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PaddleOCR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paddlepaddle paddleocr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OCR (fallback local)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Tesseract via pytesseract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pytesseract + system Tesseract binary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fallback / narratives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Gemini API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google-generativeai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Fuzzy matching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rapidfuzz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rapidfuzz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metadata scan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pikepdf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pikepdf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text / invisible-text scan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PyMuPDF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pymupdf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→ image (scanned PDFs)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pdf2image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pdf2image (needs poppler)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Hashing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hashlib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built into Python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sqlite3 to start; pip install psycopg2-binary sqlalchemy to swap in Postgres later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Synthetic invoice generation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ReportLab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reportlab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report export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WeasyPrint / ReportLab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 install weasyprint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(Vite) + Tailwind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create vite@latest frontend -- --template react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shadcn/ui (optional)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via shadcn CLI once Tailwind is set up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HTTP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axios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 axios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Charts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recharts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 recharts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viewer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react-pdf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 react-pdf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Icons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4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npm install lucide-react</w:t>
            </w:r>
          </w:p>
        </w:tc>
      </w:tr>
    </w:tbl>
    <w:p>
      <w:pPr>
        <w:spacing w:after="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Practical note: </w:t>
      </w:r>
      <w:r>
        <w:rPr>
          <w:rFonts w:ascii="Calibri" w:cs="Calibri" w:eastAsia="Calibri" w:hAnsi="Calibri"/>
          <w:sz w:val="22"/>
          <w:szCs w:val="22"/>
        </w:rPr>
        <w:t xml:space="preserve">start with SQLite, not Postgres — same SQL semantics, zero setup time, and the connection string can be swapped to Postgres in minutes for the “scalability” story during Q&amp;A. Don’t spend hour 1 configuring a Postgres server.</w:t>
      </w:r>
    </w:p>
    <w:p>
      <w:pPr>
        <w:pStyle w:val="Heading1"/>
        <w:spacing w:after="160" w:before="360"/>
      </w:pPr>
      <w:r>
        <w:t xml:space="preserve">5. Folder Structure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Each folder under backend/app/ maps to one pipeline stage from Section 2 — so ownership never overlaps between teammates, and integration is wiring modules together in main.py / routes rather than untangling shared files. synthetic_data/ is kept separate from app/ since it's a one-time generation script, not runtime code.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invoice-risk-scanner/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main.py                     # FastAPI entrypoint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config.py                   # API keys, thresholds, weights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ingestion/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file_validator.py       # tier 1: format/corruption check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content_sniff.py        # tier 2: OCR-emptiness check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batch_handler.py        # bulk upload, invalid-file summary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extraction/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ocr_engine.py           # PaddleOCR/Tesseract wrapper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gemini_fallback.py      # Gemini vision call, low-confidence fields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field_parser.py         # regex/rule-based field parsing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confidence_scorer.py    # per-field confidence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math_check.py           # taxable + tax == total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classification/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vendor_classifier.py    # first-seen AI call + cache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vendor_cache.py         # cached vendor→category map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folder_sorter.py        # auto-sort logic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misfile_scanner.py      # full-scan cross-check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reconciliation/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ledger_matcher.py       # invoice ↔ ledger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vendor_matcher.py       # invoice ↔ vendor master, phantom vendor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duplicate_detector.py   # hash tier + rapidfuzz tier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sequence_gap.py         # missing invoice-number detection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gstin_validator.py      # regex + checksum + state-code tax type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mismatch_checks.py      # amount/date mismatch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vendor_anomaly.py       # frequency/amount z-score, off-hours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benford_check.py        # first-digit distribution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forensics.py            # pikepdf metadata scan, PyMuPDF invisible-text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scoring/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risk_scorer.py          # weighted rule aggregation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confidence_scorer.py    # (shared with extraction, or separate rollup)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itc_calculator.py       # ITC-at-risk ₹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msme_penalty.py         # 45-day rule calculator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ai_layer/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narrative_generator.py  # exception explanations, batched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merge_suggester.py      # ticket merge reasoning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msme_translator.py      # plain-language mode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audit_trail/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ticket_manager.py       # CRUD, status transitions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hash_sealer.py          # SHA-256 record sealing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history_log.py          # who did what, when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models/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invoice.py              # DB schema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vendor.py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ledger_entry.py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ticket.py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routes_upload.py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routes_invoices.py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routes_tickets.py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routes_dashboard.py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routes_reports.py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db/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├── database.py             # SQLAlchemy session/engine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    └── seed.py                 # load synthetic dataset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synthetic_data/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generate_invoices.py        # ReportLab invoice generator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generate_ledger.py          # matching ledger CSV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generate_vendor_master.py   # vendor master CSV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output/                     # generated PDFs/CSVs land here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.env                            # GEMINI_API_KEY, DB_URL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pages/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Dashboard.jsx           # landing view, stats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ExceptionQueue.jsx      # ticket list, filters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InvoiceDetail.jsx       # doc preview + fields side by side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UploadBatch.jsx         # bulk upload + invalid-file decision form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Reports.jsx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TicketCard.jsx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RiskConfidenceFilter.jsx   # dual-scale filter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MergeConfirmModal.jsx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ResolutionForm.jsx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VendorCorrectionForm.jsx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FolderView.jsx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StatsCards.jsx          # ITC-at-risk, processed count etc.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RiskChart.jsx           # recharts distribution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api/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client.js               # axios instance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tailwind.config.js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package.json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invoice-risk-scanner-plan.md    # this project's planning doc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README.md</w:t>
      </w:r>
    </w:p>
    <w:p>
      <w:pPr>
        <w:pStyle w:val="Heading1"/>
        <w:spacing w:after="160" w:before="360"/>
      </w:pPr>
      <w:r>
        <w:t xml:space="preserve">6. Build Order (36 hours, team of 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Hour 0–2 (all): repo scaffold, synthetic dataset design — deliberately plant duplicates, GSTIN errors, sequence gaps, tamper markers, a Benford-skewed vendor, MSME-overdue invoices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Hour 2–12 (parallel): Person A — extraction pipeline (OCR + Gemini fallback + confidence scoring + math check). Person B — reconciliation + fraud rule engine (duplicates, GSTIN, mismatches, phantom vendor, typo-squatting). Person C — dashboard/ticket UI skeleton + forms + folder-sort 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Hour 12–22: integration — extraction → reconciliation → scoring → tickets → dashboard wired end to end; sequence-gap detection; auto-classification with caching; validation gate + bulk decision 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Hour 22–30: should-have features in priority order (ITC-at-risk, 45-day penalty, GST type check, tamper scans, SHA-256 sealing, Benford’s), AI narrative/merge layer, mode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Hour 30–34: test against synthetic dataset, fix bugs, rehearse demo — lead with the dashboard stats screen, hit the fuzzy-duplicate and sequence-gap “gotcha” moments 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Hour 34–36: buffer, slides, final run-through</w:t>
      </w:r>
    </w:p>
    <w:p>
      <w:pPr>
        <w:spacing w:after="14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If behind schedule, cut in this order: bounding-box visualizer → dispute auto-draft → mode toggle → Benford’s Law → AI merge → PDF forensics scans → GST type check → 45-day penalty → ITC-at-risk. Never touch the core list — that is the actual problem statement; everything else is differentiation.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Handoff Context for Other AI Assistants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This section exists so that if the team continues this project in a different AI tool, IDE assistant, or a fresh chat session, that assistant can pick up full context immediately without re-deriving decisions already made here.</w:t>
      </w:r>
    </w:p>
    <w:p>
      <w:pPr>
        <w:pStyle w:val="Heading2"/>
        <w:spacing w:after="120" w:before="280"/>
      </w:pPr>
      <w:r>
        <w:t xml:space="preserve">Project identity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Hackathon project: “AI-Powered Invoice Risk Scanner for MSMEs and Audit Teams,” built against a FinTech track problem statement. Team of 3, 36-hour build window. The objective per the original brief is a reliable invoice risk screening module, not a complete audit platform — scope discipline matters more than feature count.</w:t>
      </w:r>
    </w:p>
    <w:p>
      <w:pPr>
        <w:pStyle w:val="Heading2"/>
        <w:spacing w:after="120" w:before="280"/>
      </w:pPr>
      <w:r>
        <w:t xml:space="preserve">Decisions already made — do not re-litigate without reason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AI provider is Gemini (the team has a Gemini API key), used for vision fallback extraction and short structured-JSON narrative/reasoning calls only — never as the default path for every invoice.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OCR baseline is PaddleOCR/Tesseract (local, free, pretrained) — the team deliberately chose NOT to train a custom OCR model on a Kaggle dataset; reasons: mismatched data distribution (Indian GSTIN invoices vs generic Kaggle sets), no GPU/training time budget in 36h, and pretrained + rules is more explainable to audit-context judges.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AI-touched feature follows a strict rule → cache → AI tiering to minimize token usage. When extending any feature, preserve this pattern rather than defaulting to an AI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Risk score and Confidence score are two separate axes and must never be merged into one number. Risk = fraud/error likelihood. Confidence = extraction certainty.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Every place AI could be wrong or the stakes are high has a human-facing form (see Section 2, “Forms”). Do not replace a form with a silent automatic action when adding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Database starts on SQLite for build speed; schema should stay Postgres-compatible (avoid SQLite-only syntax) so it can be swapped later with minimal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Six features were deliberately cut due to live third-party API dependency risk during a demo: e-way bill distance API, FX exchange-rate API, WHOIS domain-age lookup, circular-billing network graph, containerization, and a free-form natural-language AI copilot. Do not add these back in without an explicit request — they were cut on purpose, not forgotten.</w:t>
      </w:r>
    </w:p>
    <w:p>
      <w:pPr>
        <w:pStyle w:val="Heading2"/>
        <w:spacing w:after="120" w:before="280"/>
      </w:pPr>
      <w:r>
        <w:t xml:space="preserve">Current feature status framework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Features are tracked in four tiers: Core (must work, is literally the problem statement), Should-have (ranked list, build after core is stable), Stretch (only if ahead of schedule), Cut (explicitly out of scope, see above). When asked to add a new feature, first ask which tier it belongs in and what it displaces — do not silently add scope to Core.</w:t>
      </w:r>
    </w:p>
    <w:p>
      <w:pPr>
        <w:pStyle w:val="Heading2"/>
        <w:spacing w:after="120" w:before="280"/>
      </w:pPr>
      <w:r>
        <w:t xml:space="preserve">Architecture invariant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The pipeline is strictly ordered: Ingestion → Extraction → Classification → Reconciliation → Scoring → AI layer → Audit trail/Dashboard. Each backend module folder (see Section 5) corresponds 1:1 to a pipeline stage. New logic should be added to the matching folder rather than creating a new top-level module, unless it is a genuinely new stage.</w:t>
      </w:r>
    </w:p>
    <w:p>
      <w:pPr>
        <w:pStyle w:val="Heading2"/>
        <w:spacing w:after="120" w:before="280"/>
      </w:pPr>
      <w:r>
        <w:t xml:space="preserve">What a new assistant should do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Read this document in full before proposing architecture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 which stage/tier a request belongs to before writing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Preserve the rule → cache → AI tiering for any new AI-touched feature.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Ask which of the 3 team members owns the relevant module before restructuring shared files, if that context is available.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Default to extending the synthetic dataset generator when new fraud/anomaly checks are added, so the new check is demonstrable, not just implemented.</w:t>
      </w:r>
    </w:p>
    <w:p>
      <w:pPr>
        <w:pStyle w:val="Heading2"/>
        <w:spacing w:after="120" w:before="280"/>
      </w:pPr>
      <w:r>
        <w:t xml:space="preserve">Open items not yet decided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Exact weighting formula for the risk score (which check contributes how many points) — currently described only as “weighted sum,” specific weights not finalized.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Whether Postgres will actually be stood up for the demo or SQLite is kept through submission.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Final choice on whether shadcn/ui is used or plain Tailwind components, depending on remaining time.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2026-08-01T05:00:12.499Z</dcterms:created>
  <dcterms:modified xsi:type="dcterms:W3CDTF">2026-08-01T05:00:12.524Z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