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E79"/>
          <w:sz w:val="44"/>
        </w:rPr>
        <w:t>Codeforces Performance Analyzer</w:t>
      </w:r>
    </w:p>
    <w:p>
      <w:pPr>
        <w:jc w:val="center"/>
      </w:pPr>
      <w:r>
        <w:rPr>
          <w:color w:val="404040"/>
          <w:sz w:val="26"/>
        </w:rPr>
        <w:t>ML Results Report — Classification &amp; Regression</w:t>
      </w:r>
    </w:p>
    <w:p/>
    <w:p>
      <w:pPr>
        <w:jc w:val="center"/>
      </w:pPr>
      <w:r>
        <w:rPr>
          <w:b/>
          <w:color w:val="C00000"/>
          <w:sz w:val="24"/>
        </w:rPr>
        <w:t>Target User: mo.zarad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1. Project Overview</w:t>
      </w:r>
    </w:p>
    <w:p>
      <w:pPr>
        <w:spacing w:after="120"/>
      </w:pPr>
      <w:r>
        <w:rPr>
          <w:sz w:val="21"/>
        </w:rPr>
        <w:t>This report presents the machine learning results of the Codeforces Performance Analyzer. Given a Codeforces handle, the system: (1) fetches the user's submission history from the API, (2) computes tag-level strength scores, (3) classifies the user into a cluster of 50 similar users via K-Nearest Neighbors, and (4) recommends unsolved problems prioritized by predicted success probability and tag weakness.</w:t>
      </w:r>
    </w:p>
    <w:p>
      <w:pPr>
        <w:spacing w:after="120"/>
      </w:pPr>
      <w:r>
        <w:rPr>
          <w:sz w:val="21"/>
        </w:rPr>
        <w:t>Dataset: 2,869 users · 819,242 submission records · 20 problem tags · 8 CF rank classes.</w:t>
      </w:r>
    </w:p>
    <w:p>
      <w:pPr>
        <w:pStyle w:val="Heading1"/>
        <w:jc w:val="left"/>
      </w:pPr>
      <w:r>
        <w:rPr>
          <w:color w:val="1F4E79"/>
        </w:rPr>
        <w:t>2. Dataset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DCE6F1"/>
          </w:tcPr>
          <w:p>
            <w:r>
              <w:rPr>
                <w:b/>
                <w:sz w:val="20"/>
              </w:rPr>
              <w:t>Total users (with tag data)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2,869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>
              <w:rPr>
                <w:b/>
                <w:sz w:val="20"/>
              </w:rPr>
              <w:t>Total submission records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819,242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>
              <w:rPr>
                <w:b/>
                <w:sz w:val="20"/>
              </w:rPr>
              <w:t>Problem tags used as features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>
              <w:rPr>
                <w:b/>
                <w:sz w:val="20"/>
              </w:rPr>
              <w:t>CF rank classes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8 (Newbie → Grandmaster)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>
              <w:rPr>
                <w:b/>
                <w:sz w:val="20"/>
              </w:rPr>
              <w:t>Rating range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900 – 2598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>
              <w:rPr>
                <w:b/>
                <w:sz w:val="20"/>
              </w:rPr>
              <w:t>Avg. first-try success rate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0.600 ± 0.117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CF Rank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User Count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% of Dataset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Newbie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340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11.9%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Pupil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372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13.0%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Specialist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408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14.2%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Expert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556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19.4%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Candidate Master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477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16.6%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Master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432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15.1%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International Master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114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4.0%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Grandmaster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170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5.9%</w:t>
            </w:r>
          </w:p>
        </w:tc>
      </w:tr>
    </w:tbl>
    <w:p/>
    <w:p>
      <w:pPr>
        <w:pStyle w:val="Heading1"/>
        <w:jc w:val="left"/>
      </w:pPr>
      <w:r>
        <w:rPr>
          <w:color w:val="1F4E79"/>
        </w:rPr>
        <w:t>3. Feature Engineering — Tag Strength Score</w:t>
      </w:r>
    </w:p>
    <w:p>
      <w:pPr>
        <w:spacing w:after="120"/>
      </w:pPr>
      <w:r>
        <w:rPr>
          <w:sz w:val="21"/>
        </w:rPr>
        <w:t>Each user is represented as a 20-dimensional vector of tag strength scores (one per problem category). Each score is computed from five weighted components: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Acceptance Rate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Smoothed AC / total attempts for this tag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Difficulty Score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Avg. rating of solved problems / 3500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Rating Boost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(CF rating + max rating) / (2 × 3500)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Specialization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Tag AC count / total AC count (focus signal)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Efficiency Score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7.5%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First-try solve rate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Volume Score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7.5%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log(1 + ac_count) / log(51)  — breadth of practice</w:t>
            </w:r>
          </w:p>
        </w:tc>
      </w:tr>
    </w:tbl>
    <w:p/>
    <w:p>
      <w:pPr>
        <w:pStyle w:val="Heading1"/>
        <w:jc w:val="left"/>
      </w:pPr>
      <w:r>
        <w:rPr>
          <w:color w:val="1F4E79"/>
        </w:rPr>
        <w:t>4. Classification Model — K-Nearest Neighbors</w:t>
      </w:r>
    </w:p>
    <w:p>
      <w:pPr>
        <w:spacing w:after="120"/>
      </w:pPr>
      <w:r>
        <w:rPr>
          <w:sz w:val="21"/>
        </w:rPr>
        <w:t>A KNN classifier (k = 50, Euclidean distance) is trained on the 20-dimensional tag strength vectors to predict CF rank. Performance is evaluated with 5-fold stratified cross-validation.</w:t>
      </w:r>
    </w:p>
    <w:p>
      <w:pPr>
        <w:pStyle w:val="Heading2"/>
        <w:jc w:val="left"/>
      </w:pPr>
      <w:r>
        <w:rPr>
          <w:color w:val="1F4E79"/>
        </w:rPr>
        <w:t>4.1  Overall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DCE6F1"/>
          </w:tcPr>
          <w:p>
            <w:r>
              <w:rPr>
                <w:b/>
                <w:sz w:val="20"/>
              </w:rPr>
              <w:t>Algorithm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K-Nearest Neighbors (k = 50)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>
              <w:rPr>
                <w:b/>
                <w:sz w:val="20"/>
              </w:rPr>
              <w:t>Distance metric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Euclidean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>
              <w:rPr>
                <w:b/>
                <w:sz w:val="20"/>
              </w:rPr>
              <w:t>Feature space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20 tag strength scores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>
              <w:rPr>
                <w:b/>
                <w:sz w:val="20"/>
              </w:rPr>
              <w:t>Evaluation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5-fold stratified cross-validation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>
              <w:rPr>
                <w:b/>
                <w:sz w:val="20"/>
              </w:rPr>
              <w:t>Overall accuracy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34.3%</w:t>
            </w:r>
          </w:p>
        </w:tc>
      </w:tr>
    </w:tbl>
    <w:p/>
    <w:p>
      <w:pPr>
        <w:pStyle w:val="Heading2"/>
        <w:jc w:val="left"/>
      </w:pPr>
      <w:r>
        <w:rPr>
          <w:color w:val="1F4E79"/>
        </w:rPr>
        <w:t>4.2  Per-Class Accuracy</w:t>
      </w:r>
    </w:p>
    <w:p>
      <w:pPr>
        <w:spacing w:after="120"/>
      </w:pPr>
      <w:r>
        <w:rPr>
          <w:sz w:val="21"/>
        </w:rPr>
        <w:t>Adjacent ranks (e.g. Specialist ↔ Expert) are naturally harder to distinguish because their tag profiles overlap significantly. Extreme ranks (Newbie, Grandmaster) are better separated.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CF Rank</w:t>
            </w:r>
          </w:p>
        </w:tc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Accuracy (diagonal)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Newbie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29.1%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Pupil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49.1%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Specialist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17.6%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Expert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1.8%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Candidate Master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28.5%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Master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71.2%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International Master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24.7%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Grandmaster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20.6%</w:t>
            </w:r>
          </w:p>
        </w:tc>
      </w:tr>
    </w:tbl>
    <w:p/>
    <w:p>
      <w:pPr>
        <w:pStyle w:val="Heading2"/>
        <w:jc w:val="left"/>
      </w:pPr>
      <w:r>
        <w:rPr>
          <w:color w:val="1F4E79"/>
        </w:rPr>
        <w:t>4.3  Key Cluster Drivers (PCA Loading Analysis)</w:t>
      </w:r>
    </w:p>
    <w:p>
      <w:pPr>
        <w:spacing w:after="120"/>
      </w:pPr>
      <w:r>
        <w:rPr>
          <w:sz w:val="21"/>
        </w:rPr>
        <w:t>Principal Component Analysis on the tag strength matrix reveals which tags contribute most to separating user clusters. The top drivers of PC1 (51.9% of variance)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DCE6F1"/>
          </w:tcPr>
          <w:p>
            <w:r>
              <w:rPr>
                <w:b/>
                <w:sz w:val="20"/>
              </w:rPr>
              <w:t>Probabilities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+0.3639</w:t>
            </w:r>
          </w:p>
        </w:tc>
      </w:tr>
      <w:tr>
        <w:tc>
          <w:tcPr>
            <w:tcW w:type="dxa" w:w="3600"/>
            <w:shd w:val="clear" w:color="auto" w:fill="DCE6F1"/>
          </w:tcPr>
          <w:p>
            <w:r>
              <w:rPr>
                <w:b/>
                <w:sz w:val="20"/>
              </w:rPr>
              <w:t>Flows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+0.3335</w:t>
            </w:r>
          </w:p>
        </w:tc>
      </w:tr>
      <w:tr>
        <w:tc>
          <w:tcPr>
            <w:tcW w:type="dxa" w:w="3600"/>
            <w:shd w:val="clear" w:color="auto" w:fill="DCE6F1"/>
          </w:tcPr>
          <w:p>
            <w:r>
              <w:rPr>
                <w:b/>
                <w:sz w:val="20"/>
              </w:rPr>
              <w:t>Trees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+0.2987</w:t>
            </w:r>
          </w:p>
        </w:tc>
      </w:tr>
      <w:tr>
        <w:tc>
          <w:tcPr>
            <w:tcW w:type="dxa" w:w="3600"/>
            <w:shd w:val="clear" w:color="auto" w:fill="DCE6F1"/>
          </w:tcPr>
          <w:p>
            <w:r>
              <w:rPr>
                <w:b/>
                <w:sz w:val="20"/>
              </w:rPr>
              <w:t>Fft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+0.2900</w:t>
            </w:r>
          </w:p>
        </w:tc>
      </w:tr>
      <w:tr>
        <w:tc>
          <w:tcPr>
            <w:tcW w:type="dxa" w:w="3600"/>
            <w:shd w:val="clear" w:color="auto" w:fill="DCE6F1"/>
          </w:tcPr>
          <w:p>
            <w:r>
              <w:rPr>
                <w:b/>
                <w:sz w:val="20"/>
              </w:rPr>
              <w:t>Combinatorics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+0.2642</w:t>
            </w:r>
          </w:p>
        </w:tc>
      </w:tr>
    </w:tbl>
    <w:p/>
    <w:p>
      <w:pPr>
        <w:pStyle w:val="Heading1"/>
        <w:jc w:val="left"/>
      </w:pPr>
      <w:r>
        <w:rPr>
          <w:color w:val="1F4E79"/>
        </w:rPr>
        <w:t>5. Regression Model — Success Rate Prediction</w:t>
      </w:r>
    </w:p>
    <w:p>
      <w:pPr>
        <w:spacing w:after="120"/>
      </w:pPr>
      <w:r>
        <w:rPr>
          <w:sz w:val="21"/>
        </w:rPr>
        <w:t>A Random Forest Regressor predicts a user's first-try success rate (fraction of problems solved on the first submission attempt) from the 20 tag strength features. Evaluated with 5-fold cross-validation.</w:t>
      </w:r>
    </w:p>
    <w:p>
      <w:pPr>
        <w:pStyle w:val="Heading2"/>
        <w:jc w:val="left"/>
      </w:pPr>
      <w:r>
        <w:rPr>
          <w:color w:val="1F4E79"/>
        </w:rPr>
        <w:t>5.1  Model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DCE6F1"/>
          </w:tcPr>
          <w:p>
            <w:r>
              <w:rPr>
                <w:b/>
                <w:sz w:val="20"/>
              </w:rPr>
              <w:t>Algorithm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Random Forest (100 trees)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>
              <w:rPr>
                <w:b/>
                <w:sz w:val="20"/>
              </w:rPr>
              <w:t>Target variable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First-try success rate  [0, 1]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>
              <w:rPr>
                <w:b/>
                <w:sz w:val="20"/>
              </w:rPr>
              <w:t>Feature space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20 tag strength scores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>
              <w:rPr>
                <w:b/>
                <w:sz w:val="20"/>
              </w:rPr>
              <w:t>Evaluation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5-fold cross-validation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>
              <w:rPr>
                <w:b/>
                <w:sz w:val="20"/>
              </w:rPr>
              <w:t>R² score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0.5840  (58.4% variance explained)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>
              <w:rPr>
                <w:b/>
                <w:sz w:val="20"/>
              </w:rPr>
              <w:t>MAE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0.0583  (avg. error ≈ 5.8 percentage points)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>
              <w:rPr>
                <w:b/>
                <w:sz w:val="20"/>
              </w:rPr>
              <w:t>Residual std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0.0751</w:t>
            </w:r>
          </w:p>
        </w:tc>
      </w:tr>
      <w:tr>
        <w:tc>
          <w:tcPr>
            <w:tcW w:type="dxa" w:w="3168"/>
            <w:shd w:val="clear" w:color="auto" w:fill="DCE6F1"/>
          </w:tcPr>
          <w:p>
            <w:r>
              <w:rPr>
                <w:b/>
                <w:sz w:val="20"/>
              </w:rPr>
              <w:t>Residual mean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-0.00131  (near-zero → no systematic bias)</w:t>
            </w:r>
          </w:p>
        </w:tc>
      </w:tr>
    </w:tbl>
    <w:p/>
    <w:p>
      <w:pPr>
        <w:pStyle w:val="Heading2"/>
        <w:jc w:val="left"/>
      </w:pPr>
      <w:r>
        <w:rPr>
          <w:color w:val="1F4E79"/>
        </w:rPr>
        <w:t>5.2  Top Predictive Tags</w:t>
      </w:r>
    </w:p>
    <w:p>
      <w:pPr>
        <w:spacing w:after="120"/>
      </w:pPr>
      <w:r>
        <w:rPr>
          <w:sz w:val="21"/>
        </w:rPr>
        <w:t>The Random Forest assigns importance scores to each tag based on how much it reduces prediction error across all trees. The three most predictive tags for success rate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DCE6F1"/>
          </w:tcPr>
          <w:p>
            <w:r>
              <w:rPr>
                <w:b/>
                <w:sz w:val="20"/>
              </w:rPr>
              <w:t>Math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0.2786  (27.9% importance)</w:t>
            </w:r>
          </w:p>
        </w:tc>
      </w:tr>
      <w:tr>
        <w:tc>
          <w:tcPr>
            <w:tcW w:type="dxa" w:w="3600"/>
            <w:shd w:val="clear" w:color="auto" w:fill="DCE6F1"/>
          </w:tcPr>
          <w:p>
            <w:r>
              <w:rPr>
                <w:b/>
                <w:sz w:val="20"/>
              </w:rPr>
              <w:t>Impl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0.1739  (17.4% importance)</w:t>
            </w:r>
          </w:p>
        </w:tc>
      </w:tr>
      <w:tr>
        <w:tc>
          <w:tcPr>
            <w:tcW w:type="dxa" w:w="3600"/>
            <w:shd w:val="clear" w:color="auto" w:fill="DCE6F1"/>
          </w:tcPr>
          <w:p>
            <w:r>
              <w:rPr>
                <w:b/>
                <w:sz w:val="20"/>
              </w:rPr>
              <w:t>Greedy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0.1176  (11.8% importance)</w:t>
            </w:r>
          </w:p>
        </w:tc>
      </w:tr>
    </w:tbl>
    <w:p/>
    <w:p>
      <w:pPr>
        <w:spacing w:after="120"/>
      </w:pPr>
      <w:r>
        <w:rPr>
          <w:sz w:val="21"/>
        </w:rPr>
        <w:t>These foundational tags (math, implementation, greedy) are consistent predictors of solving efficiency — users who handle them well tend to solve problems correctly on the first attempt more often across all tag categories.</w:t>
      </w:r>
    </w:p>
    <w:p>
      <w:pPr>
        <w:pStyle w:val="Heading1"/>
        <w:jc w:val="left"/>
      </w:pPr>
      <w:r>
        <w:rPr>
          <w:color w:val="1F4E79"/>
        </w:rPr>
        <w:t>6. Results for mo.zarad</w:t>
      </w:r>
    </w:p>
    <w:p>
      <w:pPr>
        <w:pStyle w:val="Heading2"/>
        <w:jc w:val="left"/>
      </w:pPr>
      <w:r>
        <w:rPr>
          <w:color w:val="1F4E79"/>
        </w:rPr>
        <w:t>6.1  Tag Strength Profile</w:t>
      </w:r>
    </w:p>
    <w:p>
      <w:pPr>
        <w:spacing w:after="120"/>
      </w:pPr>
      <w:r>
        <w:rPr>
          <w:sz w:val="21"/>
        </w:rPr>
        <w:t>mo.zarad's tag strengths are computed live from their latest 500 submissions benchmarked against all 2,877 users in the peer dataset.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Tag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Strength (0–100)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Solved / Tried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Acceptance Rate</w:t>
            </w:r>
          </w:p>
        </w:tc>
      </w:tr>
      <w:tr>
        <w:tc>
          <w:tcPr>
            <w:tcW w:type="dxa" w:w="2268"/>
            <w:shd w:val="clear" w:color="auto" w:fill="E2EFDA"/>
          </w:tcPr>
          <w:p>
            <w:r>
              <w:rPr>
                <w:sz w:val="20"/>
              </w:rPr>
              <w:t>Impl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20"/>
              </w:rPr>
              <w:t>86.2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20"/>
              </w:rPr>
              <w:t>61 / 67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20"/>
              </w:rPr>
              <w:t>91.0%</w:t>
            </w:r>
          </w:p>
        </w:tc>
      </w:tr>
      <w:tr>
        <w:tc>
          <w:tcPr>
            <w:tcW w:type="dxa" w:w="2268"/>
            <w:shd w:val="clear" w:color="auto" w:fill="E2EFDA"/>
          </w:tcPr>
          <w:p>
            <w:r>
              <w:rPr>
                <w:sz w:val="20"/>
              </w:rPr>
              <w:t>Number Theory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20"/>
              </w:rPr>
              <w:t>83.3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20"/>
              </w:rPr>
              <w:t>10 / 10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20"/>
              </w:rPr>
              <w:t>100.0%</w:t>
            </w:r>
          </w:p>
        </w:tc>
      </w:tr>
      <w:tr>
        <w:tc>
          <w:tcPr>
            <w:tcW w:type="dxa" w:w="2268"/>
            <w:shd w:val="clear" w:color="auto" w:fill="E2EFDA"/>
          </w:tcPr>
          <w:p>
            <w:r>
              <w:rPr>
                <w:sz w:val="20"/>
              </w:rPr>
              <w:t>Two Pointers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20"/>
              </w:rPr>
              <w:t>80.9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20"/>
              </w:rPr>
              <w:t>9 / 11</w:t>
            </w:r>
          </w:p>
        </w:tc>
        <w:tc>
          <w:tcPr>
            <w:tcW w:type="dxa" w:w="2268"/>
            <w:shd w:val="clear" w:color="auto" w:fill="E2EFDA"/>
          </w:tcPr>
          <w:p>
            <w:r>
              <w:rPr>
                <w:sz w:val="20"/>
              </w:rPr>
              <w:t>81.8%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Binary Search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80.3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12 / 15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80.0%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Strings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78.8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17 / 20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85.0%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Math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78.6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42 / 47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89.4%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Data Structures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78.4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12 / 14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85.7%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Graphs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75.5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6 / 8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75.0%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Greedy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71.3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29 / 35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82.9%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Sortings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70.0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10 / 13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76.9%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Combinatorics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67.3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1 / 1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100.0%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Constructive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65.2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10 / 13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76.9%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Bitmasks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63.6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2 / 2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100.0%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Dp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62.4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11 / 16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68.8%</w:t>
            </w:r>
          </w:p>
        </w:tc>
      </w:tr>
      <w:tr>
        <w:tc>
          <w:tcPr>
            <w:tcW w:type="dxa" w:w="2268"/>
            <w:shd w:val="clear" w:color="auto" w:fill="FCE4D6"/>
          </w:tcPr>
          <w:p>
            <w:r>
              <w:rPr>
                <w:sz w:val="20"/>
              </w:rPr>
              <w:t>Trees</w:t>
            </w:r>
          </w:p>
        </w:tc>
        <w:tc>
          <w:tcPr>
            <w:tcW w:type="dxa" w:w="2268"/>
            <w:shd w:val="clear" w:color="auto" w:fill="FCE4D6"/>
          </w:tcPr>
          <w:p>
            <w:r>
              <w:rPr>
                <w:sz w:val="20"/>
              </w:rPr>
              <w:t>59.2</w:t>
            </w:r>
          </w:p>
        </w:tc>
        <w:tc>
          <w:tcPr>
            <w:tcW w:type="dxa" w:w="2268"/>
            <w:shd w:val="clear" w:color="auto" w:fill="FCE4D6"/>
          </w:tcPr>
          <w:p>
            <w:r>
              <w:rPr>
                <w:sz w:val="20"/>
              </w:rPr>
              <w:t>2 / 3</w:t>
            </w:r>
          </w:p>
        </w:tc>
        <w:tc>
          <w:tcPr>
            <w:tcW w:type="dxa" w:w="2268"/>
            <w:shd w:val="clear" w:color="auto" w:fill="FCE4D6"/>
          </w:tcPr>
          <w:p>
            <w:r>
              <w:rPr>
                <w:sz w:val="20"/>
              </w:rPr>
              <w:t>66.7%</w:t>
            </w:r>
          </w:p>
        </w:tc>
      </w:tr>
      <w:tr>
        <w:tc>
          <w:tcPr>
            <w:tcW w:type="dxa" w:w="2268"/>
            <w:shd w:val="clear" w:color="auto" w:fill="FCE4D6"/>
          </w:tcPr>
          <w:p>
            <w:r>
              <w:rPr>
                <w:sz w:val="20"/>
              </w:rPr>
              <w:t>Games</w:t>
            </w:r>
          </w:p>
        </w:tc>
        <w:tc>
          <w:tcPr>
            <w:tcW w:type="dxa" w:w="2268"/>
            <w:shd w:val="clear" w:color="auto" w:fill="FCE4D6"/>
          </w:tcPr>
          <w:p>
            <w:r>
              <w:rPr>
                <w:sz w:val="20"/>
              </w:rPr>
              <w:t>47.7</w:t>
            </w:r>
          </w:p>
        </w:tc>
        <w:tc>
          <w:tcPr>
            <w:tcW w:type="dxa" w:w="2268"/>
            <w:shd w:val="clear" w:color="auto" w:fill="FCE4D6"/>
          </w:tcPr>
          <w:p>
            <w:r>
              <w:rPr>
                <w:sz w:val="20"/>
              </w:rPr>
              <w:t>1 / 2</w:t>
            </w:r>
          </w:p>
        </w:tc>
        <w:tc>
          <w:tcPr>
            <w:tcW w:type="dxa" w:w="2268"/>
            <w:shd w:val="clear" w:color="auto" w:fill="FCE4D6"/>
          </w:tcPr>
          <w:p>
            <w:r>
              <w:rPr>
                <w:sz w:val="20"/>
              </w:rPr>
              <w:t>50.0%</w:t>
            </w:r>
          </w:p>
        </w:tc>
      </w:tr>
      <w:tr>
        <w:tc>
          <w:tcPr>
            <w:tcW w:type="dxa" w:w="2268"/>
            <w:shd w:val="clear" w:color="auto" w:fill="FCE4D6"/>
          </w:tcPr>
          <w:p>
            <w:r>
              <w:rPr>
                <w:sz w:val="20"/>
              </w:rPr>
              <w:t>Geometry</w:t>
            </w:r>
          </w:p>
        </w:tc>
        <w:tc>
          <w:tcPr>
            <w:tcW w:type="dxa" w:w="2268"/>
            <w:shd w:val="clear" w:color="auto" w:fill="FCE4D6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2268"/>
            <w:shd w:val="clear" w:color="auto" w:fill="FCE4D6"/>
          </w:tcPr>
          <w:p>
            <w:r>
              <w:rPr>
                <w:sz w:val="20"/>
              </w:rPr>
              <w:t>0 / 2</w:t>
            </w:r>
          </w:p>
        </w:tc>
        <w:tc>
          <w:tcPr>
            <w:tcW w:type="dxa" w:w="2268"/>
            <w:shd w:val="clear" w:color="auto" w:fill="FCE4D6"/>
          </w:tcPr>
          <w:p>
            <w:r>
              <w:rPr>
                <w:sz w:val="20"/>
              </w:rPr>
              <w:t>0.0%</w:t>
            </w:r>
          </w:p>
        </w:tc>
      </w:tr>
    </w:tbl>
    <w:p/>
    <w:p>
      <w:pPr>
        <w:pStyle w:val="Heading2"/>
        <w:jc w:val="left"/>
      </w:pPr>
      <w:r>
        <w:rPr>
          <w:color w:val="1F4E79"/>
        </w:rPr>
        <w:t>6.2  KNN — 50 Nearest Neighbors</w:t>
      </w:r>
    </w:p>
    <w:p>
      <w:pPr>
        <w:spacing w:after="120"/>
      </w:pPr>
      <w:r>
        <w:rPr>
          <w:sz w:val="21"/>
        </w:rPr>
        <w:t>The KNN found 50 users most similar to mo.zarad in tag-strength space. Top 5 closest neighbors: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20"/>
              </w:rPr>
              <w:t>#1  Vincella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Distance: 0.6362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20"/>
              </w:rPr>
              <w:t>#2  Go_Goat_Goal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Distance: 0.6923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20"/>
              </w:rPr>
              <w:t>#3  148814881489_is_prime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Distance: 0.6945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20"/>
              </w:rPr>
              <w:t>#4  MatchingGraph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Distance: 0.7140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20"/>
              </w:rPr>
              <w:t>#5  rumputlautmamasukaa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Distance: 0.7441</w:t>
            </w:r>
          </w:p>
        </w:tc>
      </w:tr>
    </w:tbl>
    <w:p/>
    <w:p>
      <w:pPr>
        <w:pStyle w:val="Heading2"/>
        <w:jc w:val="left"/>
      </w:pPr>
      <w:r>
        <w:rPr>
          <w:color w:val="1F4E79"/>
        </w:rPr>
        <w:t>6.3  Top 5 Recommended Problems</w:t>
      </w:r>
    </w:p>
    <w:p>
      <w:pPr>
        <w:spacing w:after="120"/>
      </w:pPr>
      <w:r>
        <w:rPr>
          <w:sz w:val="21"/>
        </w:rPr>
        <w:t>Problems are sourced from what the 50 nearest neighbors have solved but the target user has not. They are then ranked by a composite score: 60% success probability (difficulty fit) + 40% weakness boost (growth potential).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Problem ID</w:t>
            </w:r>
          </w:p>
        </w:tc>
        <w:tc>
          <w:tcPr>
            <w:tcW w:type="dxa" w:w="181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181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Success Prob.</w:t>
            </w:r>
          </w:p>
        </w:tc>
        <w:tc>
          <w:tcPr>
            <w:tcW w:type="dxa" w:w="181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Weakness Boost</w:t>
            </w:r>
          </w:p>
        </w:tc>
        <w:tc>
          <w:tcPr>
            <w:tcW w:type="dxa" w:w="181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Final Score</w:t>
            </w:r>
          </w:p>
        </w:tc>
      </w:tr>
      <w:tr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2120_B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1000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0.506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1.000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0.704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1951_A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900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0.700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0.264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0.526</w:t>
            </w:r>
          </w:p>
        </w:tc>
      </w:tr>
      <w:tr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1941_B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1000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0.683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0.270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0.518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1674_C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1000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0.702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0.223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0.510</w:t>
            </w:r>
          </w:p>
        </w:tc>
      </w:tr>
      <w:tr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2132_C1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1000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0.663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0.234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20"/>
              </w:rPr>
              <w:t>0.492</w:t>
            </w:r>
          </w:p>
        </w:tc>
      </w:tr>
    </w:tbl>
    <w:p/>
    <w:p>
      <w:pPr>
        <w:pStyle w:val="Heading1"/>
        <w:jc w:val="left"/>
      </w:pPr>
      <w:r>
        <w:rPr>
          <w:color w:val="1F4E79"/>
        </w:rPr>
        <w:t>7. Visualizations</w:t>
      </w:r>
    </w:p>
    <w:p>
      <w:r>
        <w:drawing>
          <wp:inline xmlns:a="http://schemas.openxmlformats.org/drawingml/2006/main" xmlns:pic="http://schemas.openxmlformats.org/drawingml/2006/picture">
            <wp:extent cx="5669280" cy="5152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n_visualiz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52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i/>
          <w:color w:val="606060"/>
          <w:sz w:val="18"/>
        </w:rPr>
        <w:t>Figure 1 — KNN Visualization: radar chart, PCA scatter, distance ranking, and tag heatmap for o.khalifa.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51497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49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i/>
          <w:color w:val="606060"/>
          <w:sz w:val="18"/>
        </w:rPr>
        <w:t>Figure 2 — ML Results: KNN decision boundary, confusion matrix, feature importance, regression predicted vs. actual, residuals, and o.khalifa focus charts.</w:t>
      </w:r>
    </w:p>
    <w:p/>
    <w:p>
      <w:pPr>
        <w:pStyle w:val="Heading1"/>
        <w:jc w:val="left"/>
      </w:pPr>
      <w:r>
        <w:rPr>
          <w:color w:val="1F4E79"/>
        </w:rPr>
        <w:t>8. Conclusions</w:t>
      </w:r>
    </w:p>
    <w:p>
      <w:pPr>
        <w:spacing w:after="120"/>
      </w:pPr>
      <w:r>
        <w:rPr>
          <w:sz w:val="21"/>
        </w:rPr>
        <w:t>The KNN classifier achieves 34.3% overall accuracy in predicting CF rank from tag strength profiles alone, with the main confusion occurring between adjacent ranks — a natural limitation given the continuous nature of user skill progression.</w:t>
      </w:r>
    </w:p>
    <w:p>
      <w:pPr>
        <w:spacing w:after="120"/>
      </w:pPr>
      <w:r>
        <w:rPr>
          <w:sz w:val="21"/>
        </w:rPr>
        <w:t>The Random Forest regression model predicts first-try success rate with R² = 0.584 and MAE = 0.058 (5.8 percentage points), confirming that tag strength is a meaningful predictor of problem-solving efficiency.</w:t>
      </w:r>
    </w:p>
    <w:p>
      <w:pPr>
        <w:spacing w:after="120"/>
      </w:pPr>
      <w:r>
        <w:rPr>
          <w:sz w:val="21"/>
        </w:rPr>
        <w:t>For mo.zarad: strongest tags are impl, number theory, two pointers, with an overall acceptance rate of 65.5%. The system identified 50 similar users and recommended 113 unsolved problems ranked by personalized difficulty fit and growth potential.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