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rPr>
          <w:rFonts w:ascii="Calibri" w:cs="Calibri" w:eastAsia="Calibri" w:hAnsi="Calibri"/>
          <w:b/>
          <w:bCs/>
          <w:color w:val="1A3A5C"/>
          <w:sz w:val="56"/>
          <w:szCs w:val="56"/>
        </w:rPr>
        <w:t xml:space="preserve">Cardiovascular Disease Prediction</w:t>
      </w:r>
    </w:p>
    <w:p>
      <w:pPr>
        <w:spacing w:after="100" w:before="0"/>
        <w:jc w:val="center"/>
      </w:pPr>
      <w:r>
        <w:rPr>
          <w:rFonts w:ascii="Calibri" w:cs="Calibri" w:eastAsia="Calibri" w:hAnsi="Calibri"/>
          <w:i/>
          <w:iCs/>
          <w:color w:val="2874A6"/>
          <w:sz w:val="28"/>
          <w:szCs w:val="28"/>
        </w:rPr>
        <w:t xml:space="preserve">Model Selection, Tuning &amp; Explainability Report</w:t>
      </w:r>
    </w:p>
    <w:p>
      <w:pPr>
        <w:spacing w:after="700" w:before="0"/>
        <w:jc w:val="center"/>
      </w:pPr>
      <w:r>
        <w:rPr>
          <w:rFonts w:ascii="Calibri" w:cs="Calibri" w:eastAsia="Calibri" w:hAnsi="Calibri"/>
          <w:color w:val="888888"/>
          <w:sz w:val="22"/>
          <w:szCs w:val="22"/>
        </w:rPr>
        <w:t xml:space="preserve">XAI Project — Phase 2  |  April 2026</w:t>
      </w:r>
    </w:p>
    <w:p>
      <w:pPr>
        <w:pStyle w:val="Heading1"/>
        <w:pBdr>
          <w:bottom w:val="single" w:color="2874A6" w:sz="6" w:space="1"/>
        </w:pBdr>
        <w:spacing w:after="160" w:before="400"/>
      </w:pPr>
      <w:r>
        <w:rPr>
          <w:rFonts w:ascii="Calibri" w:cs="Calibri" w:eastAsia="Calibri" w:hAnsi="Calibri"/>
          <w:b/>
          <w:bCs/>
          <w:color w:val="1A3A5C"/>
          <w:sz w:val="34"/>
          <w:szCs w:val="34"/>
        </w:rPr>
        <w:t xml:space="preserve">1. Introduction</w:t>
      </w:r>
    </w:p>
    <w:p>
      <w:pPr>
        <w:spacing w:after="80" w:before="80"/>
        <w:jc w:val="both"/>
      </w:pPr>
      <w:r>
        <w:rPr>
          <w:rFonts w:ascii="Calibri" w:cs="Calibri" w:eastAsia="Calibri" w:hAnsi="Calibri"/>
          <w:sz w:val="22"/>
          <w:szCs w:val="22"/>
        </w:rPr>
        <w:t xml:space="preserve">Cardiovascular disease (CVD) is the leading cause of death globally, accounting for roughly 32% of all deaths each year. Early and accurate prediction using machine learning can enable timely clinical intervention and reduce patient risk. This report has three parts: why we chose Ogunpola et al. (2024) over two other candidate papers, how we tuned the XGBoost model to improve accuracy, and what the SHAP explainability analysis reveals about how the model makes decisions.</w:t>
      </w:r>
    </w:p>
    <w:p>
      <w:pPr>
        <w:spacing w:after="40" w:before="40"/>
      </w:pPr>
      <w:r>
        <w:t xml:space="preserve"/>
      </w:r>
    </w:p>
    <w:p>
      <w:pPr>
        <w:pStyle w:val="Heading1"/>
        <w:pBdr>
          <w:bottom w:val="single" w:color="2874A6" w:sz="6" w:space="1"/>
        </w:pBdr>
        <w:spacing w:after="160" w:before="400"/>
      </w:pPr>
      <w:r>
        <w:rPr>
          <w:rFonts w:ascii="Calibri" w:cs="Calibri" w:eastAsia="Calibri" w:hAnsi="Calibri"/>
          <w:b/>
          <w:bCs/>
          <w:color w:val="1A3A5C"/>
          <w:sz w:val="34"/>
          <w:szCs w:val="34"/>
        </w:rPr>
        <w:t xml:space="preserve">2. Paper Selection</w:t>
      </w:r>
    </w:p>
    <w:p>
      <w:pPr>
        <w:pStyle w:val="Heading2"/>
        <w:spacing w:after="100" w:before="280"/>
      </w:pPr>
      <w:r>
        <w:rPr>
          <w:rFonts w:ascii="Calibri" w:cs="Calibri" w:eastAsia="Calibri" w:hAnsi="Calibri"/>
          <w:b/>
          <w:bCs/>
          <w:color w:val="2874A6"/>
          <w:sz w:val="26"/>
          <w:szCs w:val="26"/>
        </w:rPr>
        <w:t xml:space="preserve">2.1 Overview of the Three Candidate Papers</w:t>
      </w:r>
    </w:p>
    <w:p>
      <w:pPr>
        <w:spacing w:after="80" w:before="80"/>
        <w:jc w:val="both"/>
      </w:pPr>
      <w:r>
        <w:rPr>
          <w:rFonts w:ascii="Calibri" w:cs="Calibri" w:eastAsia="Calibri" w:hAnsi="Calibri"/>
          <w:b/>
          <w:bCs/>
          <w:sz w:val="22"/>
          <w:szCs w:val="22"/>
        </w:rPr>
        <w:t xml:space="preserve">Paper 1 — Baghdadi et al. (2023), Journal of Big Data.  </w:t>
      </w:r>
      <w:r>
        <w:rPr>
          <w:rFonts w:ascii="Calibri" w:cs="Calibri" w:eastAsia="Calibri" w:hAnsi="Calibri"/>
          <w:sz w:val="22"/>
          <w:szCs w:val="22"/>
        </w:rPr>
        <w:t xml:space="preserve">Proposes novel ensemble ML algorithms with automatic feature selection for early CVD detection from hospital clinical databases. Best accuracy ~87.3% using a Multilayer Perceptron (MLP), with AUC of 0.94–0.95.</w:t>
      </w:r>
    </w:p>
    <w:p>
      <w:pPr>
        <w:spacing w:after="40" w:before="40"/>
      </w:pPr>
      <w:r>
        <w:t xml:space="preserve"/>
      </w:r>
    </w:p>
    <w:p>
      <w:pPr>
        <w:spacing w:after="80" w:before="80"/>
        <w:jc w:val="both"/>
      </w:pPr>
      <w:r>
        <w:rPr>
          <w:rFonts w:ascii="Calibri" w:cs="Calibri" w:eastAsia="Calibri" w:hAnsi="Calibri"/>
          <w:b/>
          <w:bCs/>
          <w:sz w:val="22"/>
          <w:szCs w:val="22"/>
        </w:rPr>
        <w:t xml:space="preserve">Paper 2 — Ogunpola et al. (2024), Diagnostics (MDPI).  </w:t>
      </w:r>
      <w:r>
        <w:rPr>
          <w:rFonts w:ascii="Calibri" w:cs="Calibri" w:eastAsia="Calibri" w:hAnsi="Calibri"/>
          <w:sz w:val="22"/>
          <w:szCs w:val="22"/>
        </w:rPr>
        <w:t xml:space="preserve">Evaluates seven classifiers on the UCI and Cleveland heart disease datasets. A fine-tuned XGBoost model achieves 98.50% accuracy, 99.14% precision, 98.29% recall, and 98.71% F1 score — the best result in the study.</w:t>
      </w:r>
    </w:p>
    <w:p>
      <w:pPr>
        <w:spacing w:after="40" w:before="40"/>
      </w:pPr>
      <w:r>
        <w:t xml:space="preserve"/>
      </w:r>
    </w:p>
    <w:p>
      <w:pPr>
        <w:spacing w:after="80" w:before="80"/>
        <w:jc w:val="both"/>
      </w:pPr>
      <w:r>
        <w:rPr>
          <w:rFonts w:ascii="Calibri" w:cs="Calibri" w:eastAsia="Calibri" w:hAnsi="Calibri"/>
          <w:b/>
          <w:bCs/>
          <w:sz w:val="22"/>
          <w:szCs w:val="22"/>
        </w:rPr>
        <w:t xml:space="preserve">Paper 3 — Tompra et al. (2024), Algorithms (MDPI).  </w:t>
      </w:r>
      <w:r>
        <w:rPr>
          <w:rFonts w:ascii="Calibri" w:cs="Calibri" w:eastAsia="Calibri" w:hAnsi="Calibri"/>
          <w:sz w:val="22"/>
          <w:szCs w:val="22"/>
        </w:rPr>
        <w:t xml:space="preserve">Focuses on class imbalance handling in the BRFSS 2021 lifestyle survey dataset using SMOTE, ADASYN, and SMOTE-ENN. Evaluates XGBoost, CatBoost, Random Forest, and others, with a primary focus on improving AUC rather than raw accuracy.</w:t>
      </w:r>
    </w:p>
    <w:p>
      <w:pPr>
        <w:spacing w:after="40" w:before="40"/>
      </w:pPr>
      <w:r>
        <w:t xml:space="preserve"/>
      </w:r>
    </w:p>
    <w:p>
      <w:pPr>
        <w:pStyle w:val="Heading2"/>
        <w:spacing w:after="100" w:before="280"/>
      </w:pPr>
      <w:r>
        <w:rPr>
          <w:rFonts w:ascii="Calibri" w:cs="Calibri" w:eastAsia="Calibri" w:hAnsi="Calibri"/>
          <w:b/>
          <w:bCs/>
          <w:color w:val="2874A6"/>
          <w:sz w:val="26"/>
          <w:szCs w:val="26"/>
        </w:rPr>
        <w:t xml:space="preserve">2.2 Comparison Table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53"/>
        <w:gridCol w:w="2354"/>
        <w:gridCol w:w="2353"/>
      </w:tblGrid>
      <w:tr>
        <w:trPr>
          <w:tblHeader/>
        </w:trPr>
        <w:tc>
          <w:tcPr>
            <w:tcW w:type="dxa" w:w="2300"/>
            <w:tcBorders>
              <w:top w:val="single" w:color="CCCCCC" w:sz="1"/>
              <w:left w:val="single" w:color="CCCCCC" w:sz="1"/>
              <w:bottom w:val="single" w:color="CCCCCC" w:sz="1"/>
              <w:right w:val="single" w:color="CCCCCC" w:sz="1"/>
            </w:tcBorders>
            <w:shd w:fill="1A3A5C" w:val="clear"/>
            <w:tcMar>
              <w:top w:type="dxa" w:w="100"/>
              <w:left w:type="dxa" w:w="110"/>
              <w:bottom w:type="dxa" w:w="100"/>
              <w:right w:type="dxa" w:w="110"/>
            </w:tcMar>
          </w:tcPr>
          <w:p>
            <w:pPr>
              <w:jc w:val="center"/>
            </w:pPr>
            <w:r>
              <w:rPr>
                <w:rFonts w:ascii="Calibri" w:cs="Calibri" w:eastAsia="Calibri" w:hAnsi="Calibri"/>
                <w:b/>
                <w:bCs/>
                <w:color w:val="FFFFFF"/>
                <w:sz w:val="19"/>
                <w:szCs w:val="19"/>
              </w:rPr>
              <w:t xml:space="preserve">Criterion</w:t>
            </w:r>
          </w:p>
        </w:tc>
        <w:tc>
          <w:tcPr>
            <w:tcW w:type="dxa" w:w="2353"/>
            <w:tcBorders>
              <w:top w:val="single" w:color="CCCCCC" w:sz="1"/>
              <w:left w:val="single" w:color="CCCCCC" w:sz="1"/>
              <w:bottom w:val="single" w:color="CCCCCC" w:sz="1"/>
              <w:right w:val="single" w:color="CCCCCC" w:sz="1"/>
            </w:tcBorders>
            <w:shd w:fill="1A3A5C" w:val="clear"/>
            <w:tcMar>
              <w:top w:type="dxa" w:w="100"/>
              <w:left w:type="dxa" w:w="110"/>
              <w:bottom w:type="dxa" w:w="100"/>
              <w:right w:type="dxa" w:w="110"/>
            </w:tcMar>
          </w:tcPr>
          <w:p>
            <w:pPr>
              <w:jc w:val="center"/>
            </w:pPr>
            <w:r>
              <w:rPr>
                <w:rFonts w:ascii="Calibri" w:cs="Calibri" w:eastAsia="Calibri" w:hAnsi="Calibri"/>
                <w:b/>
                <w:bCs/>
                <w:color w:val="FFFFFF"/>
                <w:sz w:val="19"/>
                <w:szCs w:val="19"/>
              </w:rPr>
              <w:t xml:space="preserve">Baghdadi et al. (2023)
J. Big Data</w:t>
            </w:r>
          </w:p>
        </w:tc>
        <w:tc>
          <w:tcPr>
            <w:tcW w:type="dxa" w:w="2354"/>
            <w:tcBorders>
              <w:top w:val="single" w:color="CCCCCC" w:sz="1"/>
              <w:left w:val="single" w:color="CCCCCC" w:sz="1"/>
              <w:bottom w:val="single" w:color="CCCCCC" w:sz="1"/>
              <w:right w:val="single" w:color="CCCCCC" w:sz="1"/>
            </w:tcBorders>
            <w:shd w:fill="1A3A5C" w:val="clear"/>
            <w:tcMar>
              <w:top w:type="dxa" w:w="100"/>
              <w:left w:type="dxa" w:w="110"/>
              <w:bottom w:type="dxa" w:w="100"/>
              <w:right w:type="dxa" w:w="110"/>
            </w:tcMar>
          </w:tcPr>
          <w:p>
            <w:pPr>
              <w:jc w:val="center"/>
            </w:pPr>
            <w:r>
              <w:rPr>
                <w:rFonts w:ascii="Calibri" w:cs="Calibri" w:eastAsia="Calibri" w:hAnsi="Calibri"/>
                <w:b/>
                <w:bCs/>
                <w:color w:val="FFFFFF"/>
                <w:sz w:val="19"/>
                <w:szCs w:val="19"/>
              </w:rPr>
              <w:t xml:space="preserve">Ogunpola et al. (2024)
Diagnostics  ✓  SELECTED</w:t>
            </w:r>
          </w:p>
        </w:tc>
        <w:tc>
          <w:tcPr>
            <w:tcW w:type="dxa" w:w="2353"/>
            <w:tcBorders>
              <w:top w:val="single" w:color="CCCCCC" w:sz="1"/>
              <w:left w:val="single" w:color="CCCCCC" w:sz="1"/>
              <w:bottom w:val="single" w:color="CCCCCC" w:sz="1"/>
              <w:right w:val="single" w:color="CCCCCC" w:sz="1"/>
            </w:tcBorders>
            <w:shd w:fill="1A3A5C" w:val="clear"/>
            <w:tcMar>
              <w:top w:type="dxa" w:w="100"/>
              <w:left w:type="dxa" w:w="110"/>
              <w:bottom w:type="dxa" w:w="100"/>
              <w:right w:type="dxa" w:w="110"/>
            </w:tcMar>
          </w:tcPr>
          <w:p>
            <w:pPr>
              <w:jc w:val="center"/>
            </w:pPr>
            <w:r>
              <w:rPr>
                <w:rFonts w:ascii="Calibri" w:cs="Calibri" w:eastAsia="Calibri" w:hAnsi="Calibri"/>
                <w:b/>
                <w:bCs/>
                <w:color w:val="FFFFFF"/>
                <w:sz w:val="19"/>
                <w:szCs w:val="19"/>
              </w:rPr>
              <w:t xml:space="preserve">Tompra et al. (2024)
Algorithms</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Dataset</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Hospital clinical DB</w:t>
            </w:r>
          </w:p>
        </w:tc>
        <w:tc>
          <w:tcPr>
            <w:tcW w:type="dxa" w:w="2354"/>
            <w:tcBorders>
              <w:top w:val="single" w:color="CCCCCC" w:sz="1"/>
              <w:left w:val="single" w:color="CCCCCC" w:sz="1"/>
              <w:bottom w:val="single" w:color="CCCCCC" w:sz="1"/>
              <w:right w:val="single" w:color="CCCCCC" w:sz="1"/>
            </w:tcBorders>
            <w:shd w:fill="EBF5FB" w:val="clear"/>
            <w:tcMar>
              <w:top w:type="dxa" w:w="100"/>
              <w:left w:type="dxa" w:w="110"/>
              <w:bottom w:type="dxa" w:w="100"/>
              <w:right w:type="dxa" w:w="110"/>
            </w:tcMar>
          </w:tcPr>
          <w:p>
            <w:pPr>
              <w:jc w:val="center"/>
            </w:pPr>
            <w:r>
              <w:rPr>
                <w:rFonts w:ascii="Calibri" w:cs="Calibri" w:eastAsia="Calibri" w:hAnsi="Calibri"/>
                <w:b/>
                <w:bCs/>
                <w:color w:val="1A3A5C"/>
                <w:sz w:val="19"/>
                <w:szCs w:val="19"/>
              </w:rPr>
              <w:t xml:space="preserve">UCI + Cleveland Heart Disease</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BRFSS 2021 lifestyle survey</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Main Model</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Ensemble ML + auto feature selection</w:t>
            </w:r>
          </w:p>
        </w:tc>
        <w:tc>
          <w:tcPr>
            <w:tcW w:type="dxa" w:w="2354"/>
            <w:tcBorders>
              <w:top w:val="single" w:color="CCCCCC" w:sz="1"/>
              <w:left w:val="single" w:color="CCCCCC" w:sz="1"/>
              <w:bottom w:val="single" w:color="CCCCCC" w:sz="1"/>
              <w:right w:val="single" w:color="CCCCCC" w:sz="1"/>
            </w:tcBorders>
            <w:shd w:fill="EBF5FB" w:val="clear"/>
            <w:tcMar>
              <w:top w:type="dxa" w:w="100"/>
              <w:left w:type="dxa" w:w="110"/>
              <w:bottom w:type="dxa" w:w="100"/>
              <w:right w:type="dxa" w:w="110"/>
            </w:tcMar>
          </w:tcPr>
          <w:p>
            <w:pPr>
              <w:jc w:val="center"/>
            </w:pPr>
            <w:r>
              <w:rPr>
                <w:rFonts w:ascii="Calibri" w:cs="Calibri" w:eastAsia="Calibri" w:hAnsi="Calibri"/>
                <w:b/>
                <w:bCs/>
                <w:color w:val="1A3A5C"/>
                <w:sz w:val="19"/>
                <w:szCs w:val="19"/>
              </w:rPr>
              <w:t xml:space="preserve">XGBoost (tuned) + 6 classifiers</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XGBoost, CatBoost, RF, LR, GB</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Best Accuracy</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~87.3% (MLP)</w:t>
            </w:r>
          </w:p>
        </w:tc>
        <w:tc>
          <w:tcPr>
            <w:tcW w:type="dxa" w:w="2354"/>
            <w:tcBorders>
              <w:top w:val="single" w:color="CCCCCC" w:sz="1"/>
              <w:left w:val="single" w:color="CCCCCC" w:sz="1"/>
              <w:bottom w:val="single" w:color="CCCCCC" w:sz="1"/>
              <w:right w:val="single" w:color="CCCCCC" w:sz="1"/>
            </w:tcBorders>
            <w:shd w:fill="EBF5FB" w:val="clear"/>
            <w:tcMar>
              <w:top w:type="dxa" w:w="100"/>
              <w:left w:type="dxa" w:w="110"/>
              <w:bottom w:type="dxa" w:w="100"/>
              <w:right w:type="dxa" w:w="110"/>
            </w:tcMar>
          </w:tcPr>
          <w:p>
            <w:pPr>
              <w:jc w:val="center"/>
            </w:pPr>
            <w:r>
              <w:rPr>
                <w:rFonts w:ascii="Calibri" w:cs="Calibri" w:eastAsia="Calibri" w:hAnsi="Calibri"/>
                <w:b/>
                <w:bCs/>
                <w:color w:val="1A3A5C"/>
                <w:sz w:val="19"/>
                <w:szCs w:val="19"/>
              </w:rPr>
              <w:t xml:space="preserve">98.50% (XGBoost)</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AUC-focused, not reported</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Best F1 Score</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w:t>
            </w:r>
          </w:p>
        </w:tc>
        <w:tc>
          <w:tcPr>
            <w:tcW w:type="dxa" w:w="2354"/>
            <w:tcBorders>
              <w:top w:val="single" w:color="CCCCCC" w:sz="1"/>
              <w:left w:val="single" w:color="CCCCCC" w:sz="1"/>
              <w:bottom w:val="single" w:color="CCCCCC" w:sz="1"/>
              <w:right w:val="single" w:color="CCCCCC" w:sz="1"/>
            </w:tcBorders>
            <w:shd w:fill="EBF5FB" w:val="clear"/>
            <w:tcMar>
              <w:top w:type="dxa" w:w="100"/>
              <w:left w:type="dxa" w:w="110"/>
              <w:bottom w:type="dxa" w:w="100"/>
              <w:right w:type="dxa" w:w="110"/>
            </w:tcMar>
          </w:tcPr>
          <w:p>
            <w:pPr>
              <w:jc w:val="center"/>
            </w:pPr>
            <w:r>
              <w:rPr>
                <w:rFonts w:ascii="Calibri" w:cs="Calibri" w:eastAsia="Calibri" w:hAnsi="Calibri"/>
                <w:b/>
                <w:bCs/>
                <w:color w:val="1A3A5C"/>
                <w:sz w:val="19"/>
                <w:szCs w:val="19"/>
              </w:rPr>
              <w:t xml:space="preserve">98.71%</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Class Imbalance</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Not addressed</w:t>
            </w:r>
          </w:p>
        </w:tc>
        <w:tc>
          <w:tcPr>
            <w:tcW w:type="dxa" w:w="2354"/>
            <w:tcBorders>
              <w:top w:val="single" w:color="CCCCCC" w:sz="1"/>
              <w:left w:val="single" w:color="CCCCCC" w:sz="1"/>
              <w:bottom w:val="single" w:color="CCCCCC" w:sz="1"/>
              <w:right w:val="single" w:color="CCCCCC" w:sz="1"/>
            </w:tcBorders>
            <w:shd w:fill="EBF5FB" w:val="clear"/>
            <w:tcMar>
              <w:top w:type="dxa" w:w="100"/>
              <w:left w:type="dxa" w:w="110"/>
              <w:bottom w:type="dxa" w:w="100"/>
              <w:right w:type="dxa" w:w="110"/>
            </w:tcMar>
          </w:tcPr>
          <w:p>
            <w:pPr>
              <w:jc w:val="center"/>
            </w:pPr>
            <w:r>
              <w:rPr>
                <w:rFonts w:ascii="Calibri" w:cs="Calibri" w:eastAsia="Calibri" w:hAnsi="Calibri"/>
                <w:b/>
                <w:bCs/>
                <w:color w:val="1A3A5C"/>
                <w:sz w:val="19"/>
                <w:szCs w:val="19"/>
              </w:rPr>
              <w:t xml:space="preserve">Oversampling + normalization</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SMOTE, ADASYN, SMOTE-ENN</w:t>
            </w:r>
          </w:p>
        </w:tc>
      </w:tr>
      <w:tr>
        <w:trPr>
          <w:tblHeader w:val="false"/>
        </w:trPr>
        <w:tc>
          <w:tcPr>
            <w:tcW w:type="dxa" w:w="2300"/>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Match to
Our Dataset</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Moderate</w:t>
            </w:r>
          </w:p>
        </w:tc>
        <w:tc>
          <w:tcPr>
            <w:tcW w:type="dxa" w:w="2354"/>
            <w:tcBorders>
              <w:top w:val="single" w:color="CCCCCC" w:sz="1"/>
              <w:left w:val="single" w:color="CCCCCC" w:sz="1"/>
              <w:bottom w:val="single" w:color="CCCCCC" w:sz="1"/>
              <w:right w:val="single" w:color="CCCCCC" w:sz="1"/>
            </w:tcBorders>
            <w:shd w:fill="EBF5FB" w:val="clear"/>
            <w:tcMar>
              <w:top w:type="dxa" w:w="100"/>
              <w:left w:type="dxa" w:w="110"/>
              <w:bottom w:type="dxa" w:w="100"/>
              <w:right w:type="dxa" w:w="110"/>
            </w:tcMar>
          </w:tcPr>
          <w:p>
            <w:pPr>
              <w:jc w:val="center"/>
            </w:pPr>
            <w:r>
              <w:rPr>
                <w:rFonts w:ascii="Calibri" w:cs="Calibri" w:eastAsia="Calibri" w:hAnsi="Calibri"/>
                <w:b/>
                <w:bCs/>
                <w:color w:val="1A3A5C"/>
                <w:sz w:val="19"/>
                <w:szCs w:val="19"/>
              </w:rPr>
              <w:t xml:space="preserve">High — clinical features match</w:t>
            </w:r>
          </w:p>
        </w:tc>
        <w:tc>
          <w:tcPr>
            <w:tcW w:type="dxa" w:w="2353"/>
            <w:tcBorders>
              <w:top w:val="single" w:color="CCCCCC" w:sz="1"/>
              <w:left w:val="single" w:color="CCCCCC" w:sz="1"/>
              <w:bottom w:val="single" w:color="CCCCCC" w:sz="1"/>
              <w:right w:val="single" w:color="CCCCCC" w:sz="1"/>
            </w:tcBorders>
            <w:shd w:fill="FFFFFF" w:val="clear"/>
            <w:tcMar>
              <w:top w:type="dxa" w:w="100"/>
              <w:left w:type="dxa" w:w="110"/>
              <w:bottom w:type="dxa" w:w="100"/>
              <w:right w:type="dxa" w:w="110"/>
            </w:tcMar>
          </w:tcPr>
          <w:p>
            <w:pPr>
              <w:jc w:val="center"/>
            </w:pPr>
            <w:r>
              <w:rPr>
                <w:rFonts w:ascii="Calibri" w:cs="Calibri" w:eastAsia="Calibri" w:hAnsi="Calibri"/>
                <w:b w:val="false"/>
                <w:bCs w:val="false"/>
                <w:color w:val="222222"/>
                <w:sz w:val="19"/>
                <w:szCs w:val="19"/>
              </w:rPr>
              <w:t xml:space="preserve">Low — survey/lifestyle data</w:t>
            </w:r>
          </w:p>
        </w:tc>
      </w:tr>
    </w:tbl>
    <w:p>
      <w:pPr>
        <w:spacing w:after="40" w:before="40"/>
      </w:pPr>
      <w:r>
        <w:t xml:space="preserve"/>
      </w:r>
    </w:p>
    <w:p>
      <w:pPr>
        <w:pStyle w:val="Heading2"/>
        <w:spacing w:after="100" w:before="280"/>
      </w:pPr>
      <w:r>
        <w:rPr>
          <w:rFonts w:ascii="Calibri" w:cs="Calibri" w:eastAsia="Calibri" w:hAnsi="Calibri"/>
          <w:b/>
          <w:bCs/>
          <w:color w:val="2874A6"/>
          <w:sz w:val="26"/>
          <w:szCs w:val="26"/>
        </w:rPr>
        <w:t xml:space="preserve">2.3 Why We Chose Ogunpola et al. (2024)</w:t>
      </w:r>
    </w:p>
    <w:p>
      <w:pPr>
        <w:spacing w:after="80" w:before="80"/>
        <w:jc w:val="both"/>
      </w:pPr>
      <w:r>
        <w:rPr>
          <w:rFonts w:ascii="Calibri" w:cs="Calibri" w:eastAsia="Calibri" w:hAnsi="Calibri"/>
          <w:sz w:val="22"/>
          <w:szCs w:val="22"/>
        </w:rPr>
        <w:t xml:space="preserve">We selected this paper over the two alternatives for four reasons:</w:t>
      </w:r>
    </w:p>
    <w:p>
      <w:pPr>
        <w:spacing w:after="40" w:before="40"/>
      </w:pPr>
      <w:r>
        <w:t xml:space="preserve"/>
      </w:r>
    </w:p>
    <w:p>
      <w:pPr>
        <w:pStyle w:val="ListParagraph"/>
        <w:numPr>
          <w:ilvl w:val="0"/>
          <w:numId w:val="2"/>
        </w:numPr>
        <w:spacing w:after="60" w:before="60"/>
      </w:pPr>
      <w:r>
        <w:rPr>
          <w:rFonts w:ascii="Calibri" w:cs="Calibri" w:eastAsia="Calibri" w:hAnsi="Calibri"/>
          <w:sz w:val="22"/>
          <w:szCs w:val="22"/>
        </w:rPr>
        <w:t xml:space="preserve">Dataset alignment — our dataset contains structured clinical features (blood pressure, cholesterol, glucose, age, BMI) that directly match the UCI and Cleveland datasets used by Ogunpola et al. Baghdadi et al. used a different hospital database structure, and Tompra et al. used lifestyle survey data with very different feature characteristics.</w:t>
      </w:r>
    </w:p>
    <w:p>
      <w:pPr>
        <w:pStyle w:val="ListParagraph"/>
        <w:numPr>
          <w:ilvl w:val="0"/>
          <w:numId w:val="2"/>
        </w:numPr>
        <w:spacing w:after="60" w:before="60"/>
      </w:pPr>
      <w:r>
        <w:rPr>
          <w:rFonts w:ascii="Calibri" w:cs="Calibri" w:eastAsia="Calibri" w:hAnsi="Calibri"/>
          <w:sz w:val="22"/>
          <w:szCs w:val="22"/>
        </w:rPr>
        <w:t xml:space="preserve">XGBoost as the best model — the paper identifies fine-tuned XGBoost as its top performer, which is exactly the algorithm we implemented. This gives us a strong methodological anchor and a published benchmark to compare against.</w:t>
      </w:r>
    </w:p>
    <w:p>
      <w:pPr>
        <w:pStyle w:val="ListParagraph"/>
        <w:numPr>
          <w:ilvl w:val="0"/>
          <w:numId w:val="2"/>
        </w:numPr>
        <w:spacing w:after="60" w:before="60"/>
      </w:pPr>
      <w:r>
        <w:rPr>
          <w:rFonts w:ascii="Calibri" w:cs="Calibri" w:eastAsia="Calibri" w:hAnsi="Calibri"/>
          <w:sz w:val="22"/>
          <w:szCs w:val="22"/>
        </w:rPr>
        <w:t xml:space="preserve">Clear preprocessing pipeline — the paper's use of feature scaling, normalization, and oversampling directly informed our own steps: Winsorization for outliers, StandardScaler for normalisation, and a stratified 80/20 train-test split.</w:t>
      </w:r>
    </w:p>
    <w:p>
      <w:pPr>
        <w:pStyle w:val="ListParagraph"/>
        <w:numPr>
          <w:ilvl w:val="0"/>
          <w:numId w:val="2"/>
        </w:numPr>
        <w:spacing w:after="60" w:before="60"/>
      </w:pPr>
      <w:r>
        <w:rPr>
          <w:rFonts w:ascii="Calibri" w:cs="Calibri" w:eastAsia="Calibri" w:hAnsi="Calibri"/>
          <w:sz w:val="22"/>
          <w:szCs w:val="22"/>
        </w:rPr>
        <w:t xml:space="preserve">Matching evaluation metrics — the paper reports accuracy, precision, recall, and F1 score, which are the exact same metrics used in our notebook, making direct comparison straightforward. Tompra et al. was AUC-focused and Baghdadi et al. used a different evaluation setup.</w:t>
      </w:r>
    </w:p>
    <w:p>
      <w:pPr>
        <w:spacing w:after="40" w:before="40"/>
      </w:pPr>
      <w:r>
        <w:t xml:space="preserve"/>
      </w:r>
    </w:p>
    <w:p>
      <w:pPr>
        <w:pStyle w:val="Heading1"/>
        <w:pBdr>
          <w:bottom w:val="single" w:color="2874A6" w:sz="6" w:space="1"/>
        </w:pBdr>
        <w:spacing w:after="160" w:before="400"/>
      </w:pPr>
      <w:r>
        <w:rPr>
          <w:rFonts w:ascii="Calibri" w:cs="Calibri" w:eastAsia="Calibri" w:hAnsi="Calibri"/>
          <w:b/>
          <w:bCs/>
          <w:color w:val="1A3A5C"/>
          <w:sz w:val="34"/>
          <w:szCs w:val="34"/>
        </w:rPr>
        <w:t xml:space="preserve">3. XGBoost Model Tuning</w:t>
      </w:r>
    </w:p>
    <w:p>
      <w:pPr>
        <w:spacing w:after="80" w:before="80"/>
        <w:jc w:val="both"/>
      </w:pPr>
      <w:r>
        <w:rPr>
          <w:rFonts w:ascii="Calibri" w:cs="Calibri" w:eastAsia="Calibri" w:hAnsi="Calibri"/>
          <w:sz w:val="22"/>
          <w:szCs w:val="22"/>
        </w:rPr>
        <w:t xml:space="preserve">The original notebook used a basic XGBoost configuration (100 trees, learning rate 0.1, depth 5). We applied nine hyperparameter changes to increase ensemble strength, reduce overfitting, and add regularisation.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460"/>
      </w:tblGrid>
      <w:tr>
        <w:tc>
          <w:tcPr>
            <w:tcW w:type="dxa" w:w="2500"/>
            <w:tcBorders>
              <w:top w:val="single" w:color="CCCCCC" w:sz="1"/>
              <w:left w:val="single" w:color="CCCCCC" w:sz="1"/>
              <w:bottom w:val="single" w:color="CCCCCC" w:sz="1"/>
              <w:right w:val="single" w:color="CCCCCC" w:sz="1"/>
            </w:tcBorders>
            <w:shd w:fill="1A3A5C"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Parameter</w:t>
            </w:r>
          </w:p>
        </w:tc>
        <w:tc>
          <w:tcPr>
            <w:tcW w:type="dxa" w:w="1700"/>
            <w:tcBorders>
              <w:top w:val="single" w:color="CCCCCC" w:sz="1"/>
              <w:left w:val="single" w:color="CCCCCC" w:sz="1"/>
              <w:bottom w:val="single" w:color="CCCCCC" w:sz="1"/>
              <w:right w:val="single" w:color="CCCCCC" w:sz="1"/>
            </w:tcBorders>
            <w:shd w:fill="1A3A5C" w:val="clear"/>
            <w:tcMar>
              <w:top w:type="dxa" w:w="90"/>
              <w:left w:type="dxa" w:w="110"/>
              <w:bottom w:type="dxa" w:w="90"/>
              <w:right w:type="dxa" w:w="110"/>
            </w:tcMar>
          </w:tcPr>
          <w:p>
            <w:pPr>
              <w:jc w:val="center"/>
            </w:pPr>
            <w:r>
              <w:rPr>
                <w:rFonts w:ascii="Calibri" w:cs="Calibri" w:eastAsia="Calibri" w:hAnsi="Calibri"/>
                <w:b/>
                <w:bCs/>
                <w:color w:val="FFFFFF"/>
                <w:sz w:val="19"/>
                <w:szCs w:val="19"/>
              </w:rPr>
              <w:t xml:space="preserve">Baseline</w:t>
            </w:r>
          </w:p>
        </w:tc>
        <w:tc>
          <w:tcPr>
            <w:tcW w:type="dxa" w:w="1700"/>
            <w:tcBorders>
              <w:top w:val="single" w:color="CCCCCC" w:sz="1"/>
              <w:left w:val="single" w:color="CCCCCC" w:sz="1"/>
              <w:bottom w:val="single" w:color="CCCCCC" w:sz="1"/>
              <w:right w:val="single" w:color="CCCCCC" w:sz="1"/>
            </w:tcBorders>
            <w:shd w:fill="1A3A5C" w:val="clear"/>
            <w:tcMar>
              <w:top w:type="dxa" w:w="90"/>
              <w:left w:type="dxa" w:w="110"/>
              <w:bottom w:type="dxa" w:w="90"/>
              <w:right w:type="dxa" w:w="110"/>
            </w:tcMar>
          </w:tcPr>
          <w:p>
            <w:pPr>
              <w:jc w:val="center"/>
            </w:pPr>
            <w:r>
              <w:rPr>
                <w:rFonts w:ascii="Calibri" w:cs="Calibri" w:eastAsia="Calibri" w:hAnsi="Calibri"/>
                <w:b/>
                <w:bCs/>
                <w:color w:val="FFFFFF"/>
                <w:sz w:val="19"/>
                <w:szCs w:val="19"/>
              </w:rPr>
              <w:t xml:space="preserve">Tuned</w:t>
            </w:r>
          </w:p>
        </w:tc>
        <w:tc>
          <w:tcPr>
            <w:tcW w:type="dxa" w:w="3460"/>
            <w:tcBorders>
              <w:top w:val="single" w:color="CCCCCC" w:sz="1"/>
              <w:left w:val="single" w:color="CCCCCC" w:sz="1"/>
              <w:bottom w:val="single" w:color="CCCCCC" w:sz="1"/>
              <w:right w:val="single" w:color="CCCCCC" w:sz="1"/>
            </w:tcBorders>
            <w:shd w:fill="1A3A5C" w:val="clear"/>
            <w:tcMar>
              <w:top w:type="dxa" w:w="90"/>
              <w:left w:type="dxa" w:w="110"/>
              <w:bottom w:type="dxa" w:w="90"/>
              <w:right w:type="dxa" w:w="110"/>
            </w:tcMar>
          </w:tcPr>
          <w:p>
            <w:pPr>
              <w:jc w:val="center"/>
            </w:pPr>
            <w:r>
              <w:rPr>
                <w:rFonts w:ascii="Calibri" w:cs="Calibri" w:eastAsia="Calibri" w:hAnsi="Calibri"/>
                <w:b/>
                <w:bCs/>
                <w:color w:val="FFFFFF"/>
                <w:sz w:val="19"/>
                <w:szCs w:val="19"/>
              </w:rPr>
              <w:t xml:space="preserve">Reason</w:t>
            </w:r>
          </w:p>
        </w:tc>
      </w:tr>
      <w:tr>
        <w:tc>
          <w:tcPr>
            <w:tcW w:type="dxa" w:w="25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pPr>
              <w:jc w:val="left"/>
            </w:pPr>
            <w:r>
              <w:rPr>
                <w:rFonts w:ascii="Calibri" w:cs="Calibri" w:eastAsia="Calibri" w:hAnsi="Calibri"/>
                <w:b w:val="false"/>
                <w:bCs w:val="false"/>
                <w:color w:val="222222"/>
                <w:sz w:val="19"/>
                <w:szCs w:val="19"/>
              </w:rPr>
              <w:t xml:space="preserve">n_estimators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500</w:t>
            </w:r>
          </w:p>
        </w:tc>
        <w:tc>
          <w:tcPr>
            <w:tcW w:type="dxa" w:w="346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More trees → stronger ensemble</w:t>
            </w:r>
          </w:p>
        </w:tc>
      </w:tr>
      <w:tr>
        <w:tc>
          <w:tcPr>
            <w:tcW w:type="dxa" w:w="25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pPr>
              <w:jc w:val="left"/>
            </w:pPr>
            <w:r>
              <w:rPr>
                <w:rFonts w:ascii="Calibri" w:cs="Calibri" w:eastAsia="Calibri" w:hAnsi="Calibri"/>
                <w:b w:val="false"/>
                <w:bCs w:val="false"/>
                <w:color w:val="222222"/>
                <w:sz w:val="19"/>
                <w:szCs w:val="19"/>
              </w:rPr>
              <w:t xml:space="preserve">learning_rate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0.1</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0.05</w:t>
            </w:r>
          </w:p>
        </w:tc>
        <w:tc>
          <w:tcPr>
            <w:tcW w:type="dxa" w:w="346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Slower learning reduces overfitting (paired with more trees)</w:t>
            </w:r>
          </w:p>
        </w:tc>
      </w:tr>
      <w:tr>
        <w:tc>
          <w:tcPr>
            <w:tcW w:type="dxa" w:w="25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pPr>
              <w:jc w:val="left"/>
            </w:pPr>
            <w:r>
              <w:rPr>
                <w:rFonts w:ascii="Calibri" w:cs="Calibri" w:eastAsia="Calibri" w:hAnsi="Calibri"/>
                <w:b w:val="false"/>
                <w:bCs w:val="false"/>
                <w:color w:val="222222"/>
                <w:sz w:val="19"/>
                <w:szCs w:val="19"/>
              </w:rPr>
              <w:t xml:space="preserve">max_depth</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6</w:t>
            </w:r>
          </w:p>
        </w:tc>
        <w:tc>
          <w:tcPr>
            <w:tcW w:type="dxa" w:w="346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Captures deeper feature interactions</w:t>
            </w:r>
          </w:p>
        </w:tc>
      </w:tr>
      <w:tr>
        <w:tc>
          <w:tcPr>
            <w:tcW w:type="dxa" w:w="25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pPr>
              <w:jc w:val="left"/>
            </w:pPr>
            <w:r>
              <w:rPr>
                <w:rFonts w:ascii="Calibri" w:cs="Calibri" w:eastAsia="Calibri" w:hAnsi="Calibri"/>
                <w:b w:val="false"/>
                <w:bCs w:val="false"/>
                <w:color w:val="222222"/>
                <w:sz w:val="19"/>
                <w:szCs w:val="19"/>
              </w:rPr>
              <w:t xml:space="preserve">subsample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0.85</w:t>
            </w:r>
          </w:p>
        </w:tc>
        <w:tc>
          <w:tcPr>
            <w:tcW w:type="dxa" w:w="346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Row sampling per tree → reduces variance</w:t>
            </w:r>
          </w:p>
        </w:tc>
      </w:tr>
      <w:tr>
        <w:tc>
          <w:tcPr>
            <w:tcW w:type="dxa" w:w="25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pPr>
              <w:jc w:val="left"/>
            </w:pPr>
            <w:r>
              <w:rPr>
                <w:rFonts w:ascii="Calibri" w:cs="Calibri" w:eastAsia="Calibri" w:hAnsi="Calibri"/>
                <w:b w:val="false"/>
                <w:bCs w:val="false"/>
                <w:color w:val="222222"/>
                <w:sz w:val="19"/>
                <w:szCs w:val="19"/>
              </w:rPr>
              <w:t xml:space="preserve">colsample_bytree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0.85</w:t>
            </w:r>
          </w:p>
        </w:tc>
        <w:tc>
          <w:tcPr>
            <w:tcW w:type="dxa" w:w="346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Column sampling → decorrelates trees</w:t>
            </w:r>
          </w:p>
        </w:tc>
      </w:tr>
      <w:tr>
        <w:tc>
          <w:tcPr>
            <w:tcW w:type="dxa" w:w="25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pPr>
              <w:jc w:val="left"/>
            </w:pPr>
            <w:r>
              <w:rPr>
                <w:rFonts w:ascii="Calibri" w:cs="Calibri" w:eastAsia="Calibri" w:hAnsi="Calibri"/>
                <w:b w:val="false"/>
                <w:bCs w:val="false"/>
                <w:color w:val="222222"/>
                <w:sz w:val="19"/>
                <w:szCs w:val="19"/>
              </w:rPr>
              <w:t xml:space="preserve">min_child_weight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3</w:t>
            </w:r>
          </w:p>
        </w:tc>
        <w:tc>
          <w:tcPr>
            <w:tcW w:type="dxa" w:w="346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Prevents splits on tiny nodes</w:t>
            </w:r>
          </w:p>
        </w:tc>
      </w:tr>
      <w:tr>
        <w:tc>
          <w:tcPr>
            <w:tcW w:type="dxa" w:w="25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pPr>
              <w:jc w:val="left"/>
            </w:pPr>
            <w:r>
              <w:rPr>
                <w:rFonts w:ascii="Calibri" w:cs="Calibri" w:eastAsia="Calibri" w:hAnsi="Calibri"/>
                <w:b w:val="false"/>
                <w:bCs w:val="false"/>
                <w:color w:val="222222"/>
                <w:sz w:val="19"/>
                <w:szCs w:val="19"/>
              </w:rPr>
              <w:t xml:space="preserve">gamma</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0.1</w:t>
            </w:r>
          </w:p>
        </w:tc>
        <w:tc>
          <w:tcPr>
            <w:tcW w:type="dxa" w:w="346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Minimum loss reduction required to split</w:t>
            </w:r>
          </w:p>
        </w:tc>
      </w:tr>
      <w:tr>
        <w:tc>
          <w:tcPr>
            <w:tcW w:type="dxa" w:w="25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pPr>
              <w:jc w:val="left"/>
            </w:pPr>
            <w:r>
              <w:rPr>
                <w:rFonts w:ascii="Calibri" w:cs="Calibri" w:eastAsia="Calibri" w:hAnsi="Calibri"/>
                <w:b w:val="false"/>
                <w:bCs w:val="false"/>
                <w:color w:val="222222"/>
                <w:sz w:val="19"/>
                <w:szCs w:val="19"/>
              </w:rPr>
              <w:t xml:space="preserve">reg_alpha</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0.05</w:t>
            </w:r>
          </w:p>
        </w:tc>
        <w:tc>
          <w:tcPr>
            <w:tcW w:type="dxa" w:w="346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L1 regularisation on leaf weights</w:t>
            </w:r>
          </w:p>
        </w:tc>
      </w:tr>
      <w:tr>
        <w:tc>
          <w:tcPr>
            <w:tcW w:type="dxa" w:w="25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pPr>
              <w:jc w:val="left"/>
            </w:pPr>
            <w:r>
              <w:rPr>
                <w:rFonts w:ascii="Calibri" w:cs="Calibri" w:eastAsia="Calibri" w:hAnsi="Calibri"/>
                <w:b w:val="false"/>
                <w:bCs w:val="false"/>
                <w:color w:val="222222"/>
                <w:sz w:val="19"/>
                <w:szCs w:val="19"/>
              </w:rPr>
              <w:t xml:space="preserve">reg_lambda</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1.5</w:t>
            </w:r>
          </w:p>
        </w:tc>
        <w:tc>
          <w:tcPr>
            <w:tcW w:type="dxa" w:w="346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pPr>
              <w:jc w:val="center"/>
            </w:pPr>
            <w:r>
              <w:rPr>
                <w:rFonts w:ascii="Calibri" w:cs="Calibri" w:eastAsia="Calibri" w:hAnsi="Calibri"/>
                <w:b w:val="false"/>
                <w:bCs w:val="false"/>
                <w:color w:val="222222"/>
                <w:sz w:val="19"/>
                <w:szCs w:val="19"/>
              </w:rPr>
              <w:t xml:space="preserve">L2 regularisation (default = 1)</w:t>
            </w:r>
          </w:p>
        </w:tc>
      </w:tr>
    </w:tbl>
    <w:p>
      <w:pPr>
        <w:spacing w:after="40" w:before="40"/>
      </w:pPr>
      <w:r>
        <w:t xml:space="preserve"/>
      </w:r>
    </w:p>
    <w:p>
      <w:pPr>
        <w:spacing w:after="80" w:before="80"/>
        <w:jc w:val="both"/>
      </w:pPr>
      <w:r>
        <w:rPr>
          <w:rFonts w:ascii="Calibri" w:cs="Calibri" w:eastAsia="Calibri" w:hAnsi="Calibri"/>
          <w:sz w:val="22"/>
          <w:szCs w:val="22"/>
        </w:rPr>
        <w:t xml:space="preserve">The core strategy is pairing a larger number of trees (500) with a lower learning rate (0.05) — each tree contributes a smaller correction, but together they produce a much stronger and more stable model. The subsampling parameters (subsample and colsample_bytree) introduce controlled randomness that reduces correlation between individual trees. The regularisation parameters (gamma, reg_alpha, reg_lambda, and min_child_weight) prevent the model from fitting to noise in the training data, which improves performance on unseen patients.</w:t>
      </w:r>
    </w:p>
    <w:p>
      <w:pPr>
        <w:spacing w:after="40" w:before="40"/>
      </w:pPr>
      <w:r>
        <w:t xml:space="preserve"/>
      </w:r>
    </w:p>
    <w:p>
      <w:pPr>
        <w:pStyle w:val="Heading1"/>
        <w:pBdr>
          <w:bottom w:val="single" w:color="2874A6" w:sz="6" w:space="1"/>
        </w:pBdr>
        <w:spacing w:after="160" w:before="400"/>
      </w:pPr>
      <w:r>
        <w:rPr>
          <w:rFonts w:ascii="Calibri" w:cs="Calibri" w:eastAsia="Calibri" w:hAnsi="Calibri"/>
          <w:b/>
          <w:bCs/>
          <w:color w:val="1A3A5C"/>
          <w:sz w:val="34"/>
          <w:szCs w:val="34"/>
        </w:rPr>
        <w:t xml:space="preserve">4. Explainability — SHAP Analysis</w:t>
      </w:r>
    </w:p>
    <w:p>
      <w:pPr>
        <w:spacing w:after="80" w:before="80"/>
        <w:jc w:val="both"/>
      </w:pPr>
      <w:r>
        <w:rPr>
          <w:rFonts w:ascii="Calibri" w:cs="Calibri" w:eastAsia="Calibri" w:hAnsi="Calibri"/>
          <w:sz w:val="22"/>
          <w:szCs w:val="22"/>
        </w:rPr>
        <w:t xml:space="preserve">SHAP (SHapley Additive exPlanations) explains model predictions by assigning each feature a contribution value for each individual prediction. Unlike standard feature importance — which only tells you which features the model uses globally — SHAP tells you how much each feature pushes a specific prediction up or down, and in which direction. We used TreeExplainer, which is optimised for XGBoost and computes exact SHAP values.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tcBorders>
              <w:top w:val="single" w:color="CCCCCC" w:sz="1"/>
              <w:left w:val="single" w:color="CCCCCC" w:sz="1"/>
              <w:bottom w:val="single" w:color="CCCCCC" w:sz="1"/>
              <w:right w:val="single" w:color="CCCCCC" w:sz="1"/>
            </w:tcBorders>
            <w:shd w:fill="1A3A5C" w:val="clear"/>
            <w:tcMar>
              <w:top w:type="dxa" w:w="90"/>
              <w:left w:type="dxa" w:w="110"/>
              <w:bottom w:type="dxa" w:w="90"/>
              <w:right w:type="dxa" w:w="110"/>
            </w:tcMar>
          </w:tcPr>
          <w:p>
            <w:r>
              <w:rPr>
                <w:rFonts w:ascii="Calibri" w:cs="Calibri" w:eastAsia="Calibri" w:hAnsi="Calibri"/>
                <w:b/>
                <w:bCs/>
                <w:color w:val="FFFFFF"/>
                <w:sz w:val="19"/>
                <w:szCs w:val="19"/>
              </w:rPr>
              <w:t xml:space="preserve">SHAP Plot</w:t>
            </w:r>
          </w:p>
        </w:tc>
        <w:tc>
          <w:tcPr>
            <w:tcW w:type="dxa" w:w="3730"/>
            <w:tcBorders>
              <w:top w:val="single" w:color="CCCCCC" w:sz="1"/>
              <w:left w:val="single" w:color="CCCCCC" w:sz="1"/>
              <w:bottom w:val="single" w:color="CCCCCC" w:sz="1"/>
              <w:right w:val="single" w:color="CCCCCC" w:sz="1"/>
            </w:tcBorders>
            <w:shd w:fill="1A3A5C" w:val="clear"/>
            <w:tcMar>
              <w:top w:type="dxa" w:w="90"/>
              <w:left w:type="dxa" w:w="110"/>
              <w:bottom w:type="dxa" w:w="90"/>
              <w:right w:type="dxa" w:w="110"/>
            </w:tcMar>
          </w:tcPr>
          <w:p>
            <w:r>
              <w:rPr>
                <w:rFonts w:ascii="Calibri" w:cs="Calibri" w:eastAsia="Calibri" w:hAnsi="Calibri"/>
                <w:b/>
                <w:bCs/>
                <w:color w:val="FFFFFF"/>
                <w:sz w:val="19"/>
                <w:szCs w:val="19"/>
              </w:rPr>
              <w:t xml:space="preserve">What It Shows</w:t>
            </w:r>
          </w:p>
        </w:tc>
        <w:tc>
          <w:tcPr>
            <w:tcW w:type="dxa" w:w="3730"/>
            <w:tcBorders>
              <w:top w:val="single" w:color="CCCCCC" w:sz="1"/>
              <w:left w:val="single" w:color="CCCCCC" w:sz="1"/>
              <w:bottom w:val="single" w:color="CCCCCC" w:sz="1"/>
              <w:right w:val="single" w:color="CCCCCC" w:sz="1"/>
            </w:tcBorders>
            <w:shd w:fill="1A3A5C" w:val="clear"/>
            <w:tcMar>
              <w:top w:type="dxa" w:w="90"/>
              <w:left w:type="dxa" w:w="110"/>
              <w:bottom w:type="dxa" w:w="90"/>
              <w:right w:type="dxa" w:w="110"/>
            </w:tcMar>
          </w:tcPr>
          <w:p>
            <w:r>
              <w:rPr>
                <w:rFonts w:ascii="Calibri" w:cs="Calibri" w:eastAsia="Calibri" w:hAnsi="Calibri"/>
                <w:b/>
                <w:bCs/>
                <w:color w:val="FFFFFF"/>
                <w:sz w:val="19"/>
                <w:szCs w:val="19"/>
              </w:rPr>
              <w:t xml:space="preserve">Key Finding</w:t>
            </w:r>
          </w:p>
        </w:tc>
      </w:tr>
      <w:tr>
        <w:tc>
          <w:tcPr>
            <w:tcW w:type="dxa" w:w="19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r>
              <w:rPr>
                <w:rFonts w:ascii="Calibri" w:cs="Calibri" w:eastAsia="Calibri" w:hAnsi="Calibri"/>
                <w:b w:val="false"/>
                <w:bCs w:val="false"/>
                <w:color w:val="222222"/>
                <w:sz w:val="19"/>
                <w:szCs w:val="19"/>
              </w:rPr>
              <w:t xml:space="preserve">Bar (Global)</w:t>
            </w:r>
          </w:p>
        </w:tc>
        <w:tc>
          <w:tcPr>
            <w:tcW w:type="dxa" w:w="373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Calibri" w:cs="Calibri" w:eastAsia="Calibri" w:hAnsi="Calibri"/>
                <w:b w:val="false"/>
                <w:bCs w:val="false"/>
                <w:color w:val="222222"/>
                <w:sz w:val="19"/>
                <w:szCs w:val="19"/>
              </w:rPr>
              <w:t xml:space="preserve">Average absolute SHAP value per feature — ranks overall importance</w:t>
            </w:r>
          </w:p>
        </w:tc>
        <w:tc>
          <w:tcPr>
            <w:tcW w:type="dxa" w:w="373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Calibri" w:cs="Calibri" w:eastAsia="Calibri" w:hAnsi="Calibri"/>
                <w:b w:val="false"/>
                <w:bCs w:val="false"/>
                <w:color w:val="222222"/>
                <w:sz w:val="19"/>
                <w:szCs w:val="19"/>
              </w:rPr>
              <w:t xml:space="preserve">AP_HIGH, AP_LOW, and AGE are the top three predictors of CVD</w:t>
            </w:r>
          </w:p>
        </w:tc>
      </w:tr>
      <w:tr>
        <w:tc>
          <w:tcPr>
            <w:tcW w:type="dxa" w:w="19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r>
              <w:rPr>
                <w:rFonts w:ascii="Calibri" w:cs="Calibri" w:eastAsia="Calibri" w:hAnsi="Calibri"/>
                <w:b w:val="false"/>
                <w:bCs w:val="false"/>
                <w:color w:val="222222"/>
                <w:sz w:val="19"/>
                <w:szCs w:val="19"/>
              </w:rPr>
              <w:t xml:space="preserve">Beeswarm</w:t>
            </w:r>
          </w:p>
        </w:tc>
        <w:tc>
          <w:tcPr>
            <w:tcW w:type="dxa" w:w="373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Calibri" w:cs="Calibri" w:eastAsia="Calibri" w:hAnsi="Calibri"/>
                <w:b w:val="false"/>
                <w:bCs w:val="false"/>
                <w:color w:val="222222"/>
                <w:sz w:val="19"/>
                <w:szCs w:val="19"/>
              </w:rPr>
              <w:t xml:space="preserve">Direction and magnitude of each feature's impact across all patients</w:t>
            </w:r>
          </w:p>
        </w:tc>
        <w:tc>
          <w:tcPr>
            <w:tcW w:type="dxa" w:w="373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Calibri" w:cs="Calibri" w:eastAsia="Calibri" w:hAnsi="Calibri"/>
                <w:b w:val="false"/>
                <w:bCs w:val="false"/>
                <w:color w:val="222222"/>
                <w:sz w:val="19"/>
                <w:szCs w:val="19"/>
              </w:rPr>
              <w:t xml:space="preserve">High systolic BP (red dots) consistently pushes predictions toward disease; physical activity reduces risk</w:t>
            </w:r>
          </w:p>
        </w:tc>
      </w:tr>
      <w:tr>
        <w:tc>
          <w:tcPr>
            <w:tcW w:type="dxa" w:w="1900"/>
            <w:tcBorders>
              <w:top w:val="single" w:color="CCCCCC" w:sz="1"/>
              <w:left w:val="single" w:color="CCCCCC" w:sz="1"/>
              <w:bottom w:val="single" w:color="CCCCCC" w:sz="1"/>
              <w:right w:val="single" w:color="CCCCCC" w:sz="1"/>
            </w:tcBorders>
            <w:shd w:fill="F4F6F7" w:val="clear"/>
            <w:tcMar>
              <w:top w:type="dxa" w:w="90"/>
              <w:left w:type="dxa" w:w="110"/>
              <w:bottom w:type="dxa" w:w="90"/>
              <w:right w:type="dxa" w:w="110"/>
            </w:tcMar>
          </w:tcPr>
          <w:p>
            <w:r>
              <w:rPr>
                <w:rFonts w:ascii="Calibri" w:cs="Calibri" w:eastAsia="Calibri" w:hAnsi="Calibri"/>
                <w:b w:val="false"/>
                <w:bCs w:val="false"/>
                <w:color w:val="222222"/>
                <w:sz w:val="19"/>
                <w:szCs w:val="19"/>
              </w:rPr>
              <w:t xml:space="preserve">Waterfall</w:t>
            </w:r>
          </w:p>
        </w:tc>
        <w:tc>
          <w:tcPr>
            <w:tcW w:type="dxa" w:w="373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Calibri" w:cs="Calibri" w:eastAsia="Calibri" w:hAnsi="Calibri"/>
                <w:b w:val="false"/>
                <w:bCs w:val="false"/>
                <w:color w:val="222222"/>
                <w:sz w:val="19"/>
                <w:szCs w:val="19"/>
              </w:rPr>
              <w:t xml:space="preserve">Step-by-step explanation of one individual patient's prediction</w:t>
            </w:r>
          </w:p>
        </w:tc>
        <w:tc>
          <w:tcPr>
            <w:tcW w:type="dxa" w:w="3730"/>
            <w:tcBorders>
              <w:top w:val="single" w:color="CCCCCC" w:sz="1"/>
              <w:left w:val="single" w:color="CCCCCC" w:sz="1"/>
              <w:bottom w:val="single" w:color="CCCCCC" w:sz="1"/>
              <w:right w:val="single" w:color="CCCCCC" w:sz="1"/>
            </w:tcBorders>
            <w:shd w:fill="FFFFFF" w:val="clear"/>
            <w:tcMar>
              <w:top w:type="dxa" w:w="90"/>
              <w:left w:type="dxa" w:w="110"/>
              <w:bottom w:type="dxa" w:w="90"/>
              <w:right w:type="dxa" w:w="110"/>
            </w:tcMar>
          </w:tcPr>
          <w:p>
            <w:r>
              <w:rPr>
                <w:rFonts w:ascii="Calibri" w:cs="Calibri" w:eastAsia="Calibri" w:hAnsi="Calibri"/>
                <w:b w:val="false"/>
                <w:bCs w:val="false"/>
                <w:color w:val="222222"/>
                <w:sz w:val="19"/>
                <w:szCs w:val="19"/>
              </w:rPr>
              <w:t xml:space="preserve">Elevated AP_HIGH, older AGE, and high CHOLESTEROL are the main factors pushing a high-risk patient's prediction above the baseline</w:t>
            </w:r>
          </w:p>
        </w:tc>
      </w:tr>
    </w:tbl>
    <w:p>
      <w:pPr>
        <w:spacing w:after="40" w:before="40"/>
      </w:pPr>
      <w:r>
        <w:t xml:space="preserve"/>
      </w:r>
    </w:p>
    <w:p>
      <w:pPr>
        <w:pStyle w:val="Heading2"/>
        <w:spacing w:after="100" w:before="280"/>
      </w:pPr>
      <w:r>
        <w:rPr>
          <w:rFonts w:ascii="Calibri" w:cs="Calibri" w:eastAsia="Calibri" w:hAnsi="Calibri"/>
          <w:b/>
          <w:bCs/>
          <w:color w:val="2874A6"/>
          <w:sz w:val="26"/>
          <w:szCs w:val="26"/>
        </w:rPr>
        <w:t xml:space="preserve">4.1 Global Findings</w:t>
      </w:r>
    </w:p>
    <w:p>
      <w:pPr>
        <w:spacing w:after="80" w:before="80"/>
        <w:jc w:val="both"/>
      </w:pPr>
      <w:r>
        <w:rPr>
          <w:rFonts w:ascii="Calibri" w:cs="Calibri" w:eastAsia="Calibri" w:hAnsi="Calibri"/>
          <w:sz w:val="22"/>
          <w:szCs w:val="22"/>
        </w:rPr>
        <w:t xml:space="preserve">Across all test patients, blood pressure readings dominate the model's decisions. Systolic BP (AP_HIGH) and diastolic BP (AP_LOW) are the two most important features — patients with readings above clinical thresholds consistently receive large positive SHAP values, pushing the model toward a disease prediction. This matches clinical cardiovascular risk guidelines, which identify hypertension as a primary risk factor.</w:t>
      </w:r>
    </w:p>
    <w:p>
      <w:pPr>
        <w:spacing w:after="40" w:before="40"/>
      </w:pPr>
      <w:r>
        <w:t xml:space="preserve"/>
      </w:r>
    </w:p>
    <w:p>
      <w:pPr>
        <w:spacing w:after="80" w:before="80"/>
        <w:jc w:val="both"/>
      </w:pPr>
      <w:r>
        <w:rPr>
          <w:rFonts w:ascii="Calibri" w:cs="Calibri" w:eastAsia="Calibri" w:hAnsi="Calibri"/>
          <w:sz w:val="22"/>
          <w:szCs w:val="22"/>
        </w:rPr>
        <w:t xml:space="preserve">Age is the second strongest driver, reflecting the well-established link between ageing and CVD. Cholesterol and glucose contribute meaningfully as expected biomarkers. The engineered features — particularly the HYPERTENSION binary flag, BMI, and Pulse Pressure — also rank as significant contributors, which confirms that the feature engineering added real predictive value.</w:t>
      </w:r>
    </w:p>
    <w:p>
      <w:pPr>
        <w:spacing w:after="40" w:before="40"/>
      </w:pPr>
      <w:r>
        <w:t xml:space="preserve"/>
      </w:r>
    </w:p>
    <w:p>
      <w:pPr>
        <w:spacing w:after="80" w:before="80"/>
        <w:jc w:val="both"/>
      </w:pPr>
      <w:r>
        <w:rPr>
          <w:rFonts w:ascii="Calibri" w:cs="Calibri" w:eastAsia="Calibri" w:hAnsi="Calibri"/>
          <w:sz w:val="22"/>
          <w:szCs w:val="22"/>
        </w:rPr>
        <w:t xml:space="preserve">Lifestyle features (SMOKE, ALCOHOL, PHYSICAL_ACTIVITY) have lower SHAP values. This does not mean they are clinically unimportant — it means the direct clinical measurements in this dataset carry stronger discriminative power for the model.</w:t>
      </w:r>
    </w:p>
    <w:p>
      <w:pPr>
        <w:spacing w:after="40" w:before="40"/>
      </w:pPr>
      <w:r>
        <w:t xml:space="preserve"/>
      </w:r>
    </w:p>
    <w:p>
      <w:pPr>
        <w:pStyle w:val="Heading2"/>
        <w:spacing w:after="100" w:before="280"/>
      </w:pPr>
      <w:r>
        <w:rPr>
          <w:rFonts w:ascii="Calibri" w:cs="Calibri" w:eastAsia="Calibri" w:hAnsi="Calibri"/>
          <w:b/>
          <w:bCs/>
          <w:color w:val="2874A6"/>
          <w:sz w:val="26"/>
          <w:szCs w:val="26"/>
        </w:rPr>
        <w:t xml:space="preserve">4.2 Local Findings — Individual Patient Explanations</w:t>
      </w:r>
    </w:p>
    <w:p>
      <w:pPr>
        <w:spacing w:after="80" w:before="80"/>
        <w:jc w:val="both"/>
      </w:pPr>
      <w:r>
        <w:rPr>
          <w:rFonts w:ascii="Calibri" w:cs="Calibri" w:eastAsia="Calibri" w:hAnsi="Calibri"/>
          <w:sz w:val="22"/>
          <w:szCs w:val="22"/>
        </w:rPr>
        <w:t xml:space="preserve">The waterfall plot for a high-risk patient shows elevated AP_HIGH, older age, and raised cholesterol as the three main factors pushing the prediction above the expected baseline. Minor downward corrections from physical activity and gender result in a final confident Disease prediction.</w:t>
      </w:r>
    </w:p>
    <w:p>
      <w:pPr>
        <w:spacing w:after="40" w:before="40"/>
      </w:pPr>
      <w:r>
        <w:t xml:space="preserve"/>
      </w:r>
    </w:p>
    <w:p>
      <w:pPr>
        <w:spacing w:after="80" w:before="80"/>
        <w:jc w:val="both"/>
      </w:pPr>
      <w:r>
        <w:rPr>
          <w:rFonts w:ascii="Calibri" w:cs="Calibri" w:eastAsia="Calibri" w:hAnsi="Calibri"/>
          <w:sz w:val="22"/>
          <w:szCs w:val="22"/>
        </w:rPr>
        <w:t xml:space="preserve">For a low-risk patient, normal blood pressure and younger age strongly pull the prediction below the baseline, resulting in a confident No Disease classification with only minor upward contributions from cholesterol and weight.</w:t>
      </w:r>
    </w:p>
    <w:p>
      <w:pPr>
        <w:spacing w:after="40" w:before="40"/>
      </w:pPr>
      <w:r>
        <w:t xml:space="preserve"/>
      </w:r>
    </w:p>
    <w:p>
      <w:pPr>
        <w:pStyle w:val="Heading2"/>
        <w:spacing w:after="100" w:before="280"/>
      </w:pPr>
      <w:r>
        <w:rPr>
          <w:rFonts w:ascii="Calibri" w:cs="Calibri" w:eastAsia="Calibri" w:hAnsi="Calibri"/>
          <w:b/>
          <w:bCs/>
          <w:color w:val="2874A6"/>
          <w:sz w:val="26"/>
          <w:szCs w:val="26"/>
        </w:rPr>
        <w:t xml:space="preserve">4.3 What This Tells Us</w:t>
      </w:r>
    </w:p>
    <w:p>
      <w:pPr>
        <w:spacing w:after="80" w:before="80"/>
        <w:jc w:val="both"/>
      </w:pPr>
      <w:r>
        <w:rPr>
          <w:rFonts w:ascii="Calibri" w:cs="Calibri" w:eastAsia="Calibri" w:hAnsi="Calibri"/>
          <w:sz w:val="22"/>
          <w:szCs w:val="22"/>
        </w:rPr>
        <w:t xml:space="preserve">SHAP confirms that the model is learning clinically meaningful patterns, not statistical noise. The features driving predictions are the same factors that cardiovascular medicine has identified as risk markers for decades. This gives confidence that the model would generalise to new patients and that its predictions can be understood and justified — which is especially important in a medical context where black-box decisions are unacceptable.</w:t>
      </w:r>
    </w:p>
    <w:p>
      <w:pPr>
        <w:spacing w:after="40" w:before="40"/>
      </w:pPr>
      <w:r>
        <w:t xml:space="preserve"/>
      </w:r>
    </w:p>
    <w:p>
      <w:pPr>
        <w:pStyle w:val="Heading1"/>
        <w:pBdr>
          <w:bottom w:val="single" w:color="2874A6" w:sz="6" w:space="1"/>
        </w:pBdr>
        <w:spacing w:after="160" w:before="400"/>
      </w:pPr>
      <w:r>
        <w:rPr>
          <w:rFonts w:ascii="Calibri" w:cs="Calibri" w:eastAsia="Calibri" w:hAnsi="Calibri"/>
          <w:b/>
          <w:bCs/>
          <w:color w:val="1A3A5C"/>
          <w:sz w:val="34"/>
          <w:szCs w:val="34"/>
        </w:rPr>
        <w:t xml:space="preserve">5. Conclusion</w:t>
      </w:r>
    </w:p>
    <w:p>
      <w:pPr>
        <w:spacing w:after="80" w:before="80"/>
        <w:jc w:val="both"/>
      </w:pPr>
      <w:r>
        <w:rPr>
          <w:rFonts w:ascii="Calibri" w:cs="Calibri" w:eastAsia="Calibri" w:hAnsi="Calibri"/>
          <w:sz w:val="22"/>
          <w:szCs w:val="22"/>
        </w:rPr>
        <w:t xml:space="preserve">Ogunpola et al. (2024) was the right choice for this project because it matched our dataset structure, used XGBoost as its primary algorithm, and provided a clear preprocessing and evaluation framework we could replicate and extend. The model was tuned with nine hyperparameter changes centred on a stronger, more regularised ensemble. SHAP analysis confirmed that the tuned model learns and relies on the correct clinical risk factors — blood pressure, age, and cholesterol — and produces individual predictions that are transparent and interpretable.</w:t>
      </w:r>
    </w:p>
    <w:p>
      <w:pPr>
        <w:spacing w:after="40" w:before="40"/>
      </w:pPr>
      <w:r>
        <w:t xml:space="preserve"/>
      </w:r>
    </w:p>
    <w:p>
      <w:pPr>
        <w:pStyle w:val="Heading1"/>
        <w:pBdr>
          <w:bottom w:val="single" w:color="2874A6" w:sz="6" w:space="1"/>
        </w:pBdr>
        <w:spacing w:after="160" w:before="400"/>
      </w:pPr>
      <w:r>
        <w:rPr>
          <w:rFonts w:ascii="Calibri" w:cs="Calibri" w:eastAsia="Calibri" w:hAnsi="Calibri"/>
          <w:b/>
          <w:bCs/>
          <w:color w:val="1A3A5C"/>
          <w:sz w:val="34"/>
          <w:szCs w:val="34"/>
        </w:rPr>
        <w:t xml:space="preserve">References</w:t>
      </w:r>
    </w:p>
    <w:p>
      <w:pPr>
        <w:spacing w:after="80" w:before="80"/>
        <w:jc w:val="both"/>
      </w:pPr>
      <w:r>
        <w:rPr>
          <w:rFonts w:ascii="Calibri" w:cs="Calibri" w:eastAsia="Calibri" w:hAnsi="Calibri"/>
          <w:sz w:val="22"/>
          <w:szCs w:val="22"/>
        </w:rPr>
        <w:t xml:space="preserve">[1] Baghdadi, N.A. et al. (2023). Advanced machine learning techniques for cardiovascular disease early detection and diagnosis. Journal of Big Data, 10(1). https://doi.org/10.1186/s40537-023-00817-1</w:t>
      </w:r>
    </w:p>
    <w:p>
      <w:pPr>
        <w:spacing w:after="40" w:before="40"/>
      </w:pPr>
      <w:r>
        <w:t xml:space="preserve"/>
      </w:r>
    </w:p>
    <w:p>
      <w:pPr>
        <w:spacing w:after="80" w:before="80"/>
        <w:jc w:val="both"/>
      </w:pPr>
      <w:r>
        <w:rPr>
          <w:rFonts w:ascii="Calibri" w:cs="Calibri" w:eastAsia="Calibri" w:hAnsi="Calibri"/>
          <w:sz w:val="22"/>
          <w:szCs w:val="22"/>
        </w:rPr>
        <w:t xml:space="preserve">[2] Ogunpola, A. et al. (2024). Machine Learning-Based Predictive Models for Detection of Cardiovascular Diseases. Diagnostics, 14(2), 144. https://doi.org/10.3390/diagnostics14020144</w:t>
      </w:r>
    </w:p>
    <w:p>
      <w:pPr>
        <w:spacing w:after="40" w:before="40"/>
      </w:pPr>
      <w:r>
        <w:t xml:space="preserve"/>
      </w:r>
    </w:p>
    <w:p>
      <w:pPr>
        <w:spacing w:after="80" w:before="80"/>
        <w:jc w:val="both"/>
      </w:pPr>
      <w:r>
        <w:rPr>
          <w:rFonts w:ascii="Calibri" w:cs="Calibri" w:eastAsia="Calibri" w:hAnsi="Calibri"/>
          <w:sz w:val="22"/>
          <w:szCs w:val="22"/>
        </w:rPr>
        <w:t xml:space="preserve">[3] Tompra, K.V., Papageorgiou, G., &amp; Tjortjis, C. (2024). Strategic Machine Learning Optimization for Cardiovascular Disease Prediction and High-Risk Patient Identification. Algorithms, 17(5), 178. https://doi.org/10.3390/a17050178</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CVD Prediction — Model Selection &amp; XAI Report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Calibri" w:cs="Calibri" w:eastAsia="Calibri" w:hAnsi="Calibri"/>
      <w:b/>
      <w:bCs/>
      <w:color w:val="1A3A5C"/>
      <w:sz w:val="34"/>
      <w:szCs w:val="34"/>
    </w:rPr>
  </w:style>
  <w:style w:type="paragraph" w:styleId="Heading2">
    <w:name w:val="Heading 2"/>
    <w:basedOn w:val="Normal"/>
    <w:next w:val="Normal"/>
    <w:pPr>
      <w:spacing w:after="100" w:before="280"/>
      <w:outlineLvl w:val="1"/>
    </w:pPr>
    <w:rPr>
      <w:rFonts w:ascii="Calibri" w:cs="Calibri" w:eastAsia="Calibri" w:hAnsi="Calibri"/>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2026-04-24T20:17:57.049Z</dcterms:created>
  <dcterms:modified xsi:type="dcterms:W3CDTF">2026-04-24T20:17:57.050Z</dcterms:modified>
</cp:coreProperties>
</file>

<file path=docProps/custom.xml><?xml version="1.0" encoding="utf-8"?>
<Properties xmlns="http://schemas.openxmlformats.org/officeDocument/2006/custom-properties" xmlns:vt="http://schemas.openxmlformats.org/officeDocument/2006/docPropsVTypes"/>
</file>