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Oral Diseases Classification: Model Comparison Report</w:t>
      </w:r>
    </w:p>
    <w:p>
      <w:pPr/>
      <w:r>
        <w:t xml:space="preserve">Oct 25, 2026</w:t>
      </w:r>
      <w:r>
        <w:t xml:space="preserve"> · </w:t>
      </w:r>
      <w:r>
        <w:t xml:space="preserve">@Mazen Ayad</w:t>
      </w:r>
    </w:p>
    <w:p>
      <w:pPr>
        <w:pStyle w:val="Heading2"/>
      </w:pPr>
      <w:r>
        <w:t xml:space="preserve">Summary</w:t>
      </w:r>
    </w:p>
    <w:p>
      <w:pPr/>
      <w:r>
        <w:t xml:space="preserve">The tuned ResNet50 is the best of five models on the held-out test set (506 images): accuracy 0.947 and macro-F1 0.884, against 0.800 and 0.699 for the from-scratch CNN.</w:t>
      </w:r>
    </w:p>
    <w:p>
      <w:pPr>
        <w:pStyle w:val="ListParagraph"/>
        <w:numPr>
          <w:ilvl w:val="0"/>
          <w:numId w:val="2"/>
        </w:numPr>
      </w:pPr>
      <w:r>
        <w:t xml:space="preserve">All four pretrained models beat the custom CNN; the gap to the tuned ResNet50 is clearly real (95% CI of the macro-F1 difference excludes zero).</w:t>
      </w:r>
    </w:p>
    <w:p>
      <w:pPr>
        <w:pStyle w:val="ListParagraph"/>
        <w:numPr>
          <w:ilvl w:val="0"/>
          <w:numId w:val="2"/>
        </w:numPr>
      </w:pPr>
      <w:r>
        <w:t xml:space="preserve">Tuning did not clearly help: tuned vs untuned ResNet50 is +0.032 macro-F1 with a CI of [-0.022, +0.088], so the two are statistically indistinguishable.</w:t>
      </w:r>
    </w:p>
    <w:p>
      <w:pPr>
        <w:pStyle w:val="ListParagraph"/>
        <w:numPr>
          <w:ilvl w:val="0"/>
          <w:numId w:val="2"/>
        </w:numPr>
      </w:pPr>
      <w:r>
        <w:t xml:space="preserve">Caries (recall 0.607) and Discoloration (0.739) are the weak classes; they have only 28 and 23 test images.</w:t>
      </w:r>
    </w:p>
    <w:p>
      <w:pPr>
        <w:pStyle w:val="ListParagraph"/>
        <w:numPr>
          <w:ilvl w:val="0"/>
          <w:numId w:val="2"/>
        </w:numPr>
      </w:pPr>
      <w:r>
        <w:t xml:space="preserve">Validation scores were optimistic by 0.012 to 0.037 macro-F1.</w:t>
      </w:r>
    </w:p>
    <w:p>
      <w:pPr>
        <w:pStyle w:val="Heading2"/>
      </w:pPr>
      <w:r>
        <w:t xml:space="preserve">Data and leak-free split</w:t>
      </w:r>
    </w:p>
    <w:p>
      <w:pPr/>
      <w:r>
        <w:t xml:space="preserve">The dataset is the Kaggle Oral Diseases set: 6 classes, 5,563 original images (augmented copies and the YOLO folder are excluded). After cleaning, the split is 70/15/15 and stratified by class: 2,497 train, 498 validation and 506 test images.</w:t>
      </w:r>
    </w:p>
    <w:p>
      <w:pPr>
        <w:pStyle w:val="ListParagraph"/>
        <w:numPr>
          <w:ilvl w:val="0"/>
          <w:numId w:val="3"/>
        </w:numPr>
      </w:pPr>
      <w:r>
        <w:t xml:space="preserve">Exact duplicates (MD5) are removed. A file that appears under more than one class is dropped entirely, because its label is ambiguous.</w:t>
      </w:r>
    </w:p>
    <w:p>
      <w:pPr>
        <w:pStyle w:val="ListParagraph"/>
        <w:numPr>
          <w:ilvl w:val="0"/>
          <w:numId w:val="3"/>
        </w:numPr>
      </w:pPr>
      <w:r>
        <w:t xml:space="preserve">Near-duplicates are found with a perceptual hash (pHash, Hamming distance of 4 or less out of 64). Near-duplicates with different labels are dropped.</w:t>
      </w:r>
    </w:p>
    <w:p>
      <w:pPr>
        <w:pStyle w:val="ListParagraph"/>
        <w:numPr>
          <w:ilvl w:val="0"/>
          <w:numId w:val="3"/>
        </w:numPr>
      </w:pPr>
      <w:r>
        <w:t xml:space="preserve">Near-duplicates with the same label stay, but are forced into the same split, so a copy of a training image cannot appear in validation or test.</w:t>
      </w:r>
    </w:p>
    <w:p>
      <w:pPr>
        <w:pStyle w:val="ListParagraph"/>
        <w:numPr>
          <w:ilvl w:val="0"/>
          <w:numId w:val="3"/>
        </w:numPr>
      </w:pPr>
      <w:r>
        <w:t xml:space="preserve">The split is grouped by near-duplicate group; assertions in the notebook verify that no group or identical file crosses splits.</w:t>
      </w:r>
    </w:p>
    <w:p>
      <w:pPr/>
      <w:r>
        <w:t xml:space="preserve">The classes are imbalanced. Training images per class:</w:t>
      </w:r>
    </w:p>
    <w:tbl>
      <w:tblPr>
        <w:tblStyle w:val="TableGrid"/>
        <w:tblW w:w="0" w:type="auto"/>
        <w:tblLayout w:type="fixed"/>
        <w:tblLook w:val="04A0" w:firstRow="1" w:lastRow="0" w:firstColumn="0" w:lastColumn="0" w:noHBand="0" w:noVBand="1"/>
      </w:tblPr>
      <w:tblGrid>
        <w:gridCol w:w="3111"/>
        <w:gridCol w:w="3124"/>
        <w:gridCol w:w="3124"/>
      </w:tblGrid>
      <w:tr>
        <w:trPr>
          <w:tblHeader/>
        </w:trPr>
        <w:tc>
          <w:tcPr>
            <w:tcW w:w="3111" w:type="dxa"/>
            <w:shd w:val="clear" w:color="auto" w:fill="F2F2F2"/>
          </w:tcPr>
          <w:p>
            <w:pPr/>
            <w:r>
              <w:t xml:space="preserve">Class</w:t>
            </w:r>
          </w:p>
        </w:tc>
        <w:tc>
          <w:tcPr>
            <w:tcW w:w="3124" w:type="dxa"/>
            <w:shd w:val="clear" w:color="auto" w:fill="F2F2F2"/>
          </w:tcPr>
          <w:p>
            <w:pPr/>
            <w:r>
              <w:t xml:space="preserve">Train images</w:t>
            </w:r>
          </w:p>
        </w:tc>
        <w:tc>
          <w:tcPr>
            <w:tcW w:w="3124" w:type="dxa"/>
            <w:shd w:val="clear" w:color="auto" w:fill="F2F2F2"/>
          </w:tcPr>
          <w:p>
            <w:pPr/>
            <w:r>
              <w:t xml:space="preserve">Class weight</w:t>
            </w:r>
          </w:p>
        </w:tc>
      </w:tr>
      <w:tr>
        <w:tc>
          <w:tcPr>
            <w:tcW w:w="3111" w:type="dxa"/>
          </w:tcPr>
          <w:p>
            <w:pPr/>
            <w:r>
              <w:t xml:space="preserve">Gingivitis</w:t>
            </w:r>
          </w:p>
        </w:tc>
        <w:tc>
          <w:tcPr>
            <w:tcW w:w="3124" w:type="dxa"/>
          </w:tcPr>
          <w:p>
            <w:pPr/>
            <w:r>
              <w:t xml:space="preserve">876</w:t>
            </w:r>
          </w:p>
        </w:tc>
        <w:tc>
          <w:tcPr>
            <w:tcW w:w="3124" w:type="dxa"/>
          </w:tcPr>
          <w:p>
            <w:pPr/>
            <w:r>
              <w:t xml:space="preserve">0.48</w:t>
            </w:r>
          </w:p>
        </w:tc>
      </w:tr>
      <w:tr>
        <w:tc>
          <w:tcPr>
            <w:tcW w:w="3111" w:type="dxa"/>
          </w:tcPr>
          <w:p>
            <w:pPr/>
            <w:r>
              <w:t xml:space="preserve">Hypodontia</w:t>
            </w:r>
          </w:p>
        </w:tc>
        <w:tc>
          <w:tcPr>
            <w:tcW w:w="3124" w:type="dxa"/>
          </w:tcPr>
          <w:p>
            <w:pPr/>
            <w:r>
              <w:t xml:space="preserve">865</w:t>
            </w:r>
          </w:p>
        </w:tc>
        <w:tc>
          <w:tcPr>
            <w:tcW w:w="3124" w:type="dxa"/>
          </w:tcPr>
          <w:p>
            <w:pPr/>
            <w:r>
              <w:t xml:space="preserve">0.48</w:t>
            </w:r>
          </w:p>
        </w:tc>
      </w:tr>
      <w:tr>
        <w:tc>
          <w:tcPr>
            <w:tcW w:w="3111" w:type="dxa"/>
          </w:tcPr>
          <w:p>
            <w:pPr/>
            <w:r>
              <w:t xml:space="preserve">Calculus</w:t>
            </w:r>
          </w:p>
        </w:tc>
        <w:tc>
          <w:tcPr>
            <w:tcW w:w="3124" w:type="dxa"/>
          </w:tcPr>
          <w:p>
            <w:pPr/>
            <w:r>
              <w:t xml:space="preserve">323</w:t>
            </w:r>
          </w:p>
        </w:tc>
        <w:tc>
          <w:tcPr>
            <w:tcW w:w="3124" w:type="dxa"/>
          </w:tcPr>
          <w:p>
            <w:pPr/>
            <w:r>
              <w:t xml:space="preserve">1.29</w:t>
            </w:r>
          </w:p>
        </w:tc>
      </w:tr>
      <w:tr>
        <w:tc>
          <w:tcPr>
            <w:tcW w:w="3111" w:type="dxa"/>
          </w:tcPr>
          <w:p>
            <w:pPr/>
            <w:r>
              <w:t xml:space="preserve">Mouth_Ulcer</w:t>
            </w:r>
          </w:p>
        </w:tc>
        <w:tc>
          <w:tcPr>
            <w:tcW w:w="3124" w:type="dxa"/>
          </w:tcPr>
          <w:p>
            <w:pPr/>
            <w:r>
              <w:t xml:space="preserve">175</w:t>
            </w:r>
          </w:p>
        </w:tc>
        <w:tc>
          <w:tcPr>
            <w:tcW w:w="3124" w:type="dxa"/>
          </w:tcPr>
          <w:p>
            <w:pPr/>
            <w:r>
              <w:t xml:space="preserve">2.38</w:t>
            </w:r>
          </w:p>
        </w:tc>
      </w:tr>
      <w:tr>
        <w:tc>
          <w:tcPr>
            <w:tcW w:w="3111" w:type="dxa"/>
          </w:tcPr>
          <w:p>
            <w:pPr/>
            <w:r>
              <w:t xml:space="preserve">Caries</w:t>
            </w:r>
          </w:p>
        </w:tc>
        <w:tc>
          <w:tcPr>
            <w:tcW w:w="3124" w:type="dxa"/>
          </w:tcPr>
          <w:p>
            <w:pPr/>
            <w:r>
              <w:t xml:space="preserve">134</w:t>
            </w:r>
          </w:p>
        </w:tc>
        <w:tc>
          <w:tcPr>
            <w:tcW w:w="3124" w:type="dxa"/>
          </w:tcPr>
          <w:p>
            <w:pPr/>
            <w:r>
              <w:t xml:space="preserve">3.11</w:t>
            </w:r>
          </w:p>
        </w:tc>
      </w:tr>
      <w:tr>
        <w:tc>
          <w:tcPr>
            <w:tcW w:w="3111" w:type="dxa"/>
          </w:tcPr>
          <w:p>
            <w:pPr/>
            <w:r>
              <w:t xml:space="preserve">Discoloration</w:t>
            </w:r>
          </w:p>
        </w:tc>
        <w:tc>
          <w:tcPr>
            <w:tcW w:w="3124" w:type="dxa"/>
          </w:tcPr>
          <w:p>
            <w:pPr/>
            <w:r>
              <w:t xml:space="preserve">124</w:t>
            </w:r>
          </w:p>
        </w:tc>
        <w:tc>
          <w:tcPr>
            <w:tcW w:w="3124" w:type="dxa"/>
          </w:tcPr>
          <w:p>
            <w:pPr/>
            <w:r>
              <w:t xml:space="preserve">3.36</w:t>
            </w:r>
          </w:p>
        </w:tc>
      </w:tr>
    </w:tbl>
    <w:p>
      <w:pPr/>
      <w:r>
        <w:t xml:space="preserve">Test images per class: Gingivitis 183, Hypodontia 180, Calculus 60, Mouth_Ulcer 32, Caries 28, Discoloration 23.</w:t>
      </w:r>
    </w:p>
    <w:p>
      <w:pPr>
        <w:pStyle w:val="Heading2"/>
      </w:pPr>
      <w:r>
        <w:t xml:space="preserve">Models and training recipe</w:t>
      </w:r>
    </w:p>
    <w:p>
      <w:pPr/>
      <w:r>
        <w:t xml:space="preserve">Five models were compared, all on the same data, augmentation (flip, rotation 0.08, zoom 0.1, contrast 0.1) and class weights, at 224x224 input.</w:t>
      </w:r>
    </w:p>
    <w:tbl>
      <w:tblPr>
        <w:tblStyle w:val="TableGrid"/>
        <w:tblW w:w="0" w:type="auto"/>
        <w:tblLayout w:type="fixed"/>
        <w:tblLook w:val="04A0" w:firstRow="1" w:lastRow="0" w:firstColumn="0" w:lastColumn="0" w:noHBand="0" w:noVBand="1"/>
      </w:tblPr>
      <w:tblGrid>
        <w:gridCol w:w="2016"/>
        <w:gridCol w:w="2424"/>
        <w:gridCol w:w="4920"/>
      </w:tblGrid>
      <w:tr>
        <w:trPr>
          <w:tblHeader/>
        </w:trPr>
        <w:tc>
          <w:tcPr>
            <w:tcW w:w="2016" w:type="dxa"/>
            <w:shd w:val="clear" w:color="auto" w:fill="F2F2F2"/>
          </w:tcPr>
          <w:p>
            <w:pPr/>
            <w:r>
              <w:t xml:space="preserve">Model</w:t>
            </w:r>
          </w:p>
        </w:tc>
        <w:tc>
          <w:tcPr>
            <w:tcW w:w="2424" w:type="dxa"/>
            <w:shd w:val="clear" w:color="auto" w:fill="F2F2F2"/>
          </w:tcPr>
          <w:p>
            <w:pPr/>
            <w:r>
              <w:t xml:space="preserve">Type</w:t>
            </w:r>
          </w:p>
        </w:tc>
        <w:tc>
          <w:tcPr>
            <w:tcW w:w="4920" w:type="dxa"/>
            <w:shd w:val="clear" w:color="auto" w:fill="F2F2F2"/>
          </w:tcPr>
          <w:p>
            <w:pPr/>
            <w:r>
              <w:t xml:space="preserve">Recipe</w:t>
            </w:r>
          </w:p>
        </w:tc>
      </w:tr>
      <w:tr>
        <w:tc>
          <w:tcPr>
            <w:tcW w:w="2016" w:type="dxa"/>
          </w:tcPr>
          <w:p>
            <w:pPr/>
            <w:r>
              <w:t xml:space="preserve">Custom CNN</w:t>
            </w:r>
          </w:p>
        </w:tc>
        <w:tc>
          <w:tcPr>
            <w:tcW w:w="2424" w:type="dxa"/>
          </w:tcPr>
          <w:p>
            <w:pPr/>
            <w:r>
              <w:t xml:space="preserve">From scratch, 1.21M params</w:t>
            </w:r>
          </w:p>
        </w:tc>
        <w:tc>
          <w:tcPr>
            <w:tcW w:w="4920" w:type="dxa"/>
          </w:tcPr>
          <w:p>
            <w:pPr/>
            <w:r>
              <w:t xml:space="preserve">4 blocks (32 to 256 filters, 2x Conv-BN-ReLU + pool), GAP, Dense 128, dropout 0.4; up to 40 epochs</w:t>
            </w:r>
          </w:p>
        </w:tc>
      </w:tr>
      <w:tr>
        <w:tc>
          <w:tcPr>
            <w:tcW w:w="2016" w:type="dxa"/>
          </w:tcPr>
          <w:p>
            <w:pPr/>
            <w:r>
              <w:t xml:space="preserve">ResNet50</w:t>
            </w:r>
          </w:p>
        </w:tc>
        <w:tc>
          <w:tcPr>
            <w:tcW w:w="2424" w:type="dxa"/>
          </w:tcPr>
          <w:p>
            <w:pPr/>
            <w:r>
              <w:t xml:space="preserve">ImageNet-pretrained</w:t>
            </w:r>
          </w:p>
        </w:tc>
        <w:tc>
          <w:tcPr>
            <w:tcW w:w="4920" w:type="dxa"/>
          </w:tcPr>
          <w:p>
            <w:pPr/>
            <w:r>
              <w:t xml:space="preserve">Head only (lr 1e-3, up to 8 epochs), then last 30 layers (lr 1e-5, up to 25 epochs)</w:t>
            </w:r>
          </w:p>
        </w:tc>
      </w:tr>
      <w:tr>
        <w:tc>
          <w:tcPr>
            <w:tcW w:w="2016" w:type="dxa"/>
          </w:tcPr>
          <w:p>
            <w:pPr/>
            <w:r>
              <w:t xml:space="preserve">EfficientNetB0</w:t>
            </w:r>
          </w:p>
        </w:tc>
        <w:tc>
          <w:tcPr>
            <w:tcW w:w="2424" w:type="dxa"/>
          </w:tcPr>
          <w:p>
            <w:pPr/>
            <w:r>
              <w:t xml:space="preserve">ImageNet-pretrained</w:t>
            </w:r>
          </w:p>
        </w:tc>
        <w:tc>
          <w:tcPr>
            <w:tcW w:w="4920" w:type="dxa"/>
          </w:tcPr>
          <w:p>
            <w:pPr/>
            <w:r>
              <w:t xml:space="preserve">Same two-phase recipe</w:t>
            </w:r>
          </w:p>
        </w:tc>
      </w:tr>
      <w:tr>
        <w:tc>
          <w:tcPr>
            <w:tcW w:w="2016" w:type="dxa"/>
          </w:tcPr>
          <w:p>
            <w:pPr/>
            <w:r>
              <w:t xml:space="preserve">MobileNetV2</w:t>
            </w:r>
          </w:p>
        </w:tc>
        <w:tc>
          <w:tcPr>
            <w:tcW w:w="2424" w:type="dxa"/>
          </w:tcPr>
          <w:p>
            <w:pPr/>
            <w:r>
              <w:t xml:space="preserve">ImageNet-pretrained</w:t>
            </w:r>
          </w:p>
        </w:tc>
        <w:tc>
          <w:tcPr>
            <w:tcW w:w="4920" w:type="dxa"/>
          </w:tcPr>
          <w:p>
            <w:pPr/>
            <w:r>
              <w:t xml:space="preserve">Same two-phase recipe</w:t>
            </w:r>
          </w:p>
        </w:tc>
      </w:tr>
      <w:tr>
        <w:tc>
          <w:tcPr>
            <w:tcW w:w="2016" w:type="dxa"/>
          </w:tcPr>
          <w:p>
            <w:pPr/>
            <w:r>
              <w:t xml:space="preserve">ResNet50 (tuned)</w:t>
            </w:r>
          </w:p>
        </w:tc>
        <w:tc>
          <w:tcPr>
            <w:tcW w:w="2424" w:type="dxa"/>
          </w:tcPr>
          <w:p>
            <w:pPr/>
            <w:r>
              <w:t xml:space="preserve">ImageNet-pretrained</w:t>
            </w:r>
          </w:p>
        </w:tc>
        <w:tc>
          <w:tcPr>
            <w:tcW w:w="4920" w:type="dxa"/>
          </w:tcPr>
          <w:p>
            <w:pPr/>
            <w:r>
              <w:t xml:space="preserve">Random search, 8 trials: lr 1e-5/3e-5/1e-4, unfrozen layers 30/80/140, dropout 0.3/0.5, batch 16/32</w:t>
            </w:r>
          </w:p>
        </w:tc>
      </w:tr>
    </w:tbl>
    <w:p>
      <w:pPr/>
      <w:r>
        <w:t xml:space="preserve">Each pretrained model uses its own preprocessing inside the model (ResNet50 caffe, MobileNetV2 [-1, 1], EfficientNetB0 raw 0-255). BatchNorm layers stay frozen during fine-tuning. Early stopping and best-epoch choice use validation loss; the test set was not touched until the final step.</w:t>
      </w:r>
    </w:p>
    <w:p>
      <w:pPr>
        <w:pStyle w:val="Heading2"/>
      </w:pPr>
      <w:r>
        <w:t xml:space="preserve">Validation results and tuning</w:t>
      </w:r>
    </w:p>
    <w:p>
      <w:pPr/>
      <w:r>
        <w:t xml:space="preserve">On validation (498 images) ResNet50 led the three pretrained models at macro-F1 0.870, so it was the one tuned. The first Custom CNN run scored accuracy 0.819 and macro-F1 0.772, and its loss was still falling when training ended.</w:t>
      </w:r>
    </w:p>
    <w:p>
      <w:pPr/>
      <w:r>
        <w:t xml:space="preserve">The search ran 8 trials over lr, unfrozen layers, dropout and batch size. The saved model, which is the one evaluated on test and used in the app, came from this configuration:</w:t>
      </w:r>
    </w:p>
    <w:tbl>
      <w:tblPr>
        <w:tblStyle w:val="TableGrid"/>
        <w:tblW w:w="0" w:type="auto"/>
        <w:tblLayout w:type="fixed"/>
        <w:tblLook w:val="04A0" w:firstRow="1" w:lastRow="0" w:firstColumn="0" w:lastColumn="0" w:noHBand="0" w:noVBand="1"/>
      </w:tblPr>
      <w:tblGrid>
        <w:gridCol w:w="1802"/>
        <w:gridCol w:w="2017"/>
        <w:gridCol w:w="1114"/>
        <w:gridCol w:w="899"/>
        <w:gridCol w:w="1717"/>
        <w:gridCol w:w="1808"/>
      </w:tblGrid>
      <w:tr>
        <w:trPr>
          <w:tblHeader/>
        </w:trPr>
        <w:tc>
          <w:tcPr>
            <w:tcW w:w="1802" w:type="dxa"/>
            <w:shd w:val="clear" w:color="auto" w:fill="F2F2F2"/>
          </w:tcPr>
          <w:p>
            <w:pPr/>
            <w:r>
              <w:t xml:space="preserve">Fine-tuning lr</w:t>
            </w:r>
          </w:p>
        </w:tc>
        <w:tc>
          <w:tcPr>
            <w:tcW w:w="2017" w:type="dxa"/>
            <w:shd w:val="clear" w:color="auto" w:fill="F2F2F2"/>
          </w:tcPr>
          <w:p>
            <w:pPr/>
            <w:r>
              <w:t xml:space="preserve">Unfrozen layers</w:t>
            </w:r>
          </w:p>
        </w:tc>
        <w:tc>
          <w:tcPr>
            <w:tcW w:w="1114" w:type="dxa"/>
            <w:shd w:val="clear" w:color="auto" w:fill="F2F2F2"/>
          </w:tcPr>
          <w:p>
            <w:pPr/>
            <w:r>
              <w:t xml:space="preserve">Dropout</w:t>
            </w:r>
          </w:p>
        </w:tc>
        <w:tc>
          <w:tcPr>
            <w:tcW w:w="899" w:type="dxa"/>
            <w:shd w:val="clear" w:color="auto" w:fill="F2F2F2"/>
          </w:tcPr>
          <w:p>
            <w:pPr/>
            <w:r>
              <w:t xml:space="preserve">Batch</w:t>
            </w:r>
          </w:p>
        </w:tc>
        <w:tc>
          <w:tcPr>
            <w:tcW w:w="1717" w:type="dxa"/>
            <w:shd w:val="clear" w:color="auto" w:fill="F2F2F2"/>
          </w:tcPr>
          <w:p>
            <w:pPr/>
            <w:r>
              <w:t xml:space="preserve">Val accuracy</w:t>
            </w:r>
          </w:p>
        </w:tc>
        <w:tc>
          <w:tcPr>
            <w:tcW w:w="1808" w:type="dxa"/>
            <w:shd w:val="clear" w:color="auto" w:fill="F2F2F2"/>
          </w:tcPr>
          <w:p>
            <w:pPr/>
            <w:r>
              <w:t xml:space="preserve">Val macro-F1</w:t>
            </w:r>
          </w:p>
        </w:tc>
      </w:tr>
      <w:tr>
        <w:tc>
          <w:tcPr>
            <w:tcW w:w="1802" w:type="dxa"/>
          </w:tcPr>
          <w:p>
            <w:pPr/>
            <w:r>
              <w:t xml:space="preserve">1e-4</w:t>
            </w:r>
          </w:p>
        </w:tc>
        <w:tc>
          <w:tcPr>
            <w:tcW w:w="2017" w:type="dxa"/>
          </w:tcPr>
          <w:p>
            <w:pPr/>
            <w:r>
              <w:t xml:space="preserve">80</w:t>
            </w:r>
          </w:p>
        </w:tc>
        <w:tc>
          <w:tcPr>
            <w:tcW w:w="1114" w:type="dxa"/>
          </w:tcPr>
          <w:p>
            <w:pPr/>
            <w:r>
              <w:t xml:space="preserve">0.5</w:t>
            </w:r>
          </w:p>
        </w:tc>
        <w:tc>
          <w:tcPr>
            <w:tcW w:w="899" w:type="dxa"/>
          </w:tcPr>
          <w:p>
            <w:pPr/>
            <w:r>
              <w:t xml:space="preserve">16</w:t>
            </w:r>
          </w:p>
        </w:tc>
        <w:tc>
          <w:tcPr>
            <w:tcW w:w="1717" w:type="dxa"/>
          </w:tcPr>
          <w:p>
            <w:pPr/>
            <w:r>
              <w:t xml:space="preserve">0.944</w:t>
            </w:r>
          </w:p>
        </w:tc>
        <w:tc>
          <w:tcPr>
            <w:tcW w:w="1808" w:type="dxa"/>
          </w:tcPr>
          <w:p>
            <w:pPr/>
            <w:r>
              <w:t xml:space="preserve">0.896</w:t>
            </w:r>
          </w:p>
        </w:tc>
      </w:tr>
    </w:tbl>
    <w:p>
      <w:pPr/>
      <w:r>
        <w:t xml:space="preserve">The winning score is the best of 8 trials on 498 images, so it is optimistic. In an earlier interactive run of the same search the best trial scored 0.915 (lr 1e-4, 140 layers, dropout 0.3, batch 16), and re-running the baseline setup changed macro-F1 by only 0.003. Because the two runs picked different winners, differences of a few points between trials are within noise.</w:t>
      </w:r>
    </w:p>
    <w:p>
      <w:pPr/>
      <w:r>
        <w:t xml:space="preserve">The saved model's validation macro-F1 of 0.896 is the figure used for the validation-to-test comparison below; the 0.915 belongs to the earlier run and is not the deployed model.</w:t>
      </w:r>
    </w:p>
    <w:p>
      <w:pPr>
        <w:pStyle w:val="Heading2"/>
      </w:pPr>
      <w:r>
        <w:t xml:space="preserve">Final test results with confidence intervals</w:t>
      </w:r>
    </w:p>
    <w:p>
      <w:pPr/>
      <w:r>
        <w:t xml:space="preserve">The test set was opened once, after the model choice was fixed on validation. The tuned ResNet50 ranks first on every metric (506 images; 95% bootstrap CIs, 2,000 resamples).</w:t>
      </w:r>
    </w:p>
    <w:tbl>
      <w:tblPr>
        <w:tblStyle w:val="TableGrid"/>
        <w:tblW w:w="0" w:type="auto"/>
        <w:tblLayout w:type="fixed"/>
        <w:tblLook w:val="04A0" w:firstRow="1" w:lastRow="0" w:firstColumn="0" w:lastColumn="0" w:noHBand="0" w:noVBand="1"/>
      </w:tblPr>
      <w:tblGrid>
        <w:gridCol w:w="1675"/>
        <w:gridCol w:w="1147"/>
        <w:gridCol w:w="1838"/>
        <w:gridCol w:w="1049"/>
        <w:gridCol w:w="1583"/>
        <w:gridCol w:w="1026"/>
        <w:gridCol w:w="1040"/>
      </w:tblGrid>
      <w:tr>
        <w:trPr>
          <w:tblHeader/>
        </w:trPr>
        <w:tc>
          <w:tcPr>
            <w:tcW w:w="1675" w:type="dxa"/>
            <w:shd w:val="clear" w:color="auto" w:fill="F2F2F2"/>
          </w:tcPr>
          <w:p>
            <w:pPr/>
            <w:r>
              <w:t xml:space="preserve">Model</w:t>
            </w:r>
          </w:p>
        </w:tc>
        <w:tc>
          <w:tcPr>
            <w:tcW w:w="1147" w:type="dxa"/>
            <w:shd w:val="clear" w:color="auto" w:fill="F2F2F2"/>
          </w:tcPr>
          <w:p>
            <w:pPr/>
            <w:r>
              <w:t xml:space="preserve">Test accuracy</w:t>
            </w:r>
          </w:p>
        </w:tc>
        <w:tc>
          <w:tcPr>
            <w:tcW w:w="1838" w:type="dxa"/>
            <w:shd w:val="clear" w:color="auto" w:fill="F2F2F2"/>
          </w:tcPr>
          <w:p>
            <w:pPr/>
            <w:r>
              <w:t xml:space="preserve">Accuracy 95% CI</w:t>
            </w:r>
          </w:p>
        </w:tc>
        <w:tc>
          <w:tcPr>
            <w:tcW w:w="1049" w:type="dxa"/>
            <w:shd w:val="clear" w:color="auto" w:fill="F2F2F2"/>
          </w:tcPr>
          <w:p>
            <w:pPr/>
            <w:r>
              <w:t xml:space="preserve">Test macro-F1</w:t>
            </w:r>
          </w:p>
        </w:tc>
        <w:tc>
          <w:tcPr>
            <w:tcW w:w="1583" w:type="dxa"/>
            <w:shd w:val="clear" w:color="auto" w:fill="F2F2F2"/>
          </w:tcPr>
          <w:p>
            <w:pPr/>
            <w:r>
              <w:t xml:space="preserve">F1 95% CI</w:t>
            </w:r>
          </w:p>
        </w:tc>
        <w:tc>
          <w:tcPr>
            <w:tcW w:w="1026" w:type="dxa"/>
            <w:shd w:val="clear" w:color="auto" w:fill="F2F2F2"/>
          </w:tcPr>
          <w:p>
            <w:pPr/>
            <w:r>
              <w:t xml:space="preserve">Val macro-F1</w:t>
            </w:r>
          </w:p>
        </w:tc>
        <w:tc>
          <w:tcPr>
            <w:tcW w:w="1040" w:type="dxa"/>
            <w:shd w:val="clear" w:color="auto" w:fill="F2F2F2"/>
          </w:tcPr>
          <w:p>
            <w:pPr/>
            <w:r>
              <w:t xml:space="preserve">Val to test</w:t>
            </w:r>
          </w:p>
        </w:tc>
      </w:tr>
      <w:tr>
        <w:tc>
          <w:tcPr>
            <w:tcW w:w="1675" w:type="dxa"/>
          </w:tcPr>
          <w:p>
            <w:pPr/>
            <w:r>
              <w:t xml:space="preserve">ResNet50 (tuned)</w:t>
            </w:r>
          </w:p>
        </w:tc>
        <w:tc>
          <w:tcPr>
            <w:tcW w:w="1147" w:type="dxa"/>
          </w:tcPr>
          <w:p>
            <w:pPr/>
            <w:r>
              <w:t xml:space="preserve">0.947</w:t>
            </w:r>
          </w:p>
        </w:tc>
        <w:tc>
          <w:tcPr>
            <w:tcW w:w="1838" w:type="dxa"/>
          </w:tcPr>
          <w:p>
            <w:pPr/>
            <w:r>
              <w:t xml:space="preserve">0.927 - 0.966</w:t>
            </w:r>
          </w:p>
        </w:tc>
        <w:tc>
          <w:tcPr>
            <w:tcW w:w="1049" w:type="dxa"/>
          </w:tcPr>
          <w:p>
            <w:pPr/>
            <w:r>
              <w:t xml:space="preserve">0.884</w:t>
            </w:r>
          </w:p>
        </w:tc>
        <w:tc>
          <w:tcPr>
            <w:tcW w:w="1583" w:type="dxa"/>
          </w:tcPr>
          <w:p>
            <w:pPr/>
            <w:r>
              <w:t xml:space="preserve">0.837 - 0.926</w:t>
            </w:r>
          </w:p>
        </w:tc>
        <w:tc>
          <w:tcPr>
            <w:tcW w:w="1026" w:type="dxa"/>
          </w:tcPr>
          <w:p>
            <w:pPr/>
            <w:r>
              <w:t xml:space="preserve">0.896</w:t>
            </w:r>
          </w:p>
        </w:tc>
        <w:tc>
          <w:tcPr>
            <w:tcW w:w="1040" w:type="dxa"/>
          </w:tcPr>
          <w:p>
            <w:pPr/>
            <w:r>
              <w:t xml:space="preserve">-0.012</w:t>
            </w:r>
          </w:p>
        </w:tc>
      </w:tr>
      <w:tr>
        <w:tc>
          <w:tcPr>
            <w:tcW w:w="1675" w:type="dxa"/>
          </w:tcPr>
          <w:p>
            <w:pPr/>
            <w:r>
              <w:t xml:space="preserve">ResNet50</w:t>
            </w:r>
          </w:p>
        </w:tc>
        <w:tc>
          <w:tcPr>
            <w:tcW w:w="1147" w:type="dxa"/>
          </w:tcPr>
          <w:p>
            <w:pPr/>
            <w:r>
              <w:t xml:space="preserve">0.919</w:t>
            </w:r>
          </w:p>
        </w:tc>
        <w:tc>
          <w:tcPr>
            <w:tcW w:w="1838" w:type="dxa"/>
          </w:tcPr>
          <w:p>
            <w:pPr/>
            <w:r>
              <w:t xml:space="preserve">0.895 - 0.943</w:t>
            </w:r>
          </w:p>
        </w:tc>
        <w:tc>
          <w:tcPr>
            <w:tcW w:w="1049" w:type="dxa"/>
          </w:tcPr>
          <w:p>
            <w:pPr/>
            <w:r>
              <w:t xml:space="preserve">0.852</w:t>
            </w:r>
          </w:p>
        </w:tc>
        <w:tc>
          <w:tcPr>
            <w:tcW w:w="1583" w:type="dxa"/>
          </w:tcPr>
          <w:p>
            <w:pPr/>
            <w:r>
              <w:t xml:space="preserve">0.806 - 0.892</w:t>
            </w:r>
          </w:p>
        </w:tc>
        <w:tc>
          <w:tcPr>
            <w:tcW w:w="1026" w:type="dxa"/>
          </w:tcPr>
          <w:p>
            <w:pPr/>
            <w:r>
              <w:t xml:space="preserve">0.871</w:t>
            </w:r>
          </w:p>
        </w:tc>
        <w:tc>
          <w:tcPr>
            <w:tcW w:w="1040" w:type="dxa"/>
          </w:tcPr>
          <w:p>
            <w:pPr/>
            <w:r>
              <w:t xml:space="preserve">-0.019</w:t>
            </w:r>
          </w:p>
        </w:tc>
      </w:tr>
      <w:tr>
        <w:tc>
          <w:tcPr>
            <w:tcW w:w="1675" w:type="dxa"/>
          </w:tcPr>
          <w:p>
            <w:pPr/>
            <w:r>
              <w:t xml:space="preserve">MobileNetV2</w:t>
            </w:r>
          </w:p>
        </w:tc>
        <w:tc>
          <w:tcPr>
            <w:tcW w:w="1147" w:type="dxa"/>
          </w:tcPr>
          <w:p>
            <w:pPr/>
            <w:r>
              <w:t xml:space="preserve">0.887</w:t>
            </w:r>
          </w:p>
        </w:tc>
        <w:tc>
          <w:tcPr>
            <w:tcW w:w="1838" w:type="dxa"/>
          </w:tcPr>
          <w:p>
            <w:pPr/>
            <w:r>
              <w:t xml:space="preserve">0.860 - 0.913</w:t>
            </w:r>
          </w:p>
        </w:tc>
        <w:tc>
          <w:tcPr>
            <w:tcW w:w="1049" w:type="dxa"/>
          </w:tcPr>
          <w:p>
            <w:pPr/>
            <w:r>
              <w:t xml:space="preserve">0.822</w:t>
            </w:r>
          </w:p>
        </w:tc>
        <w:tc>
          <w:tcPr>
            <w:tcW w:w="1583" w:type="dxa"/>
          </w:tcPr>
          <w:p>
            <w:pPr/>
            <w:r>
              <w:t xml:space="preserve">0.771 - 0.865</w:t>
            </w:r>
          </w:p>
        </w:tc>
        <w:tc>
          <w:tcPr>
            <w:tcW w:w="1026" w:type="dxa"/>
          </w:tcPr>
          <w:p>
            <w:pPr/>
            <w:r>
              <w:t xml:space="preserve">0.857</w:t>
            </w:r>
          </w:p>
        </w:tc>
        <w:tc>
          <w:tcPr>
            <w:tcW w:w="1040" w:type="dxa"/>
          </w:tcPr>
          <w:p>
            <w:pPr/>
            <w:r>
              <w:t xml:space="preserve">-0.035</w:t>
            </w:r>
          </w:p>
        </w:tc>
      </w:tr>
      <w:tr>
        <w:tc>
          <w:tcPr>
            <w:tcW w:w="1675" w:type="dxa"/>
          </w:tcPr>
          <w:p>
            <w:pPr/>
            <w:r>
              <w:t xml:space="preserve">EfficientNetB0</w:t>
            </w:r>
          </w:p>
        </w:tc>
        <w:tc>
          <w:tcPr>
            <w:tcW w:w="1147" w:type="dxa"/>
          </w:tcPr>
          <w:p>
            <w:pPr/>
            <w:r>
              <w:t xml:space="preserve">0.877</w:t>
            </w:r>
          </w:p>
        </w:tc>
        <w:tc>
          <w:tcPr>
            <w:tcW w:w="1838" w:type="dxa"/>
          </w:tcPr>
          <w:p>
            <w:pPr/>
            <w:r>
              <w:t xml:space="preserve">0.848 - 0.903</w:t>
            </w:r>
          </w:p>
        </w:tc>
        <w:tc>
          <w:tcPr>
            <w:tcW w:w="1049" w:type="dxa"/>
          </w:tcPr>
          <w:p>
            <w:pPr/>
            <w:r>
              <w:t xml:space="preserve">0.804</w:t>
            </w:r>
          </w:p>
        </w:tc>
        <w:tc>
          <w:tcPr>
            <w:tcW w:w="1583" w:type="dxa"/>
          </w:tcPr>
          <w:p>
            <w:pPr/>
            <w:r>
              <w:t xml:space="preserve">0.755 - 0.846</w:t>
            </w:r>
          </w:p>
        </w:tc>
        <w:tc>
          <w:tcPr>
            <w:tcW w:w="1026" w:type="dxa"/>
          </w:tcPr>
          <w:p>
            <w:pPr/>
            <w:r>
              <w:t xml:space="preserve">0.842</w:t>
            </w:r>
          </w:p>
        </w:tc>
        <w:tc>
          <w:tcPr>
            <w:tcW w:w="1040" w:type="dxa"/>
          </w:tcPr>
          <w:p>
            <w:pPr/>
            <w:r>
              <w:t xml:space="preserve">-0.037</w:t>
            </w:r>
          </w:p>
        </w:tc>
      </w:tr>
      <w:tr>
        <w:tc>
          <w:tcPr>
            <w:tcW w:w="1675" w:type="dxa"/>
          </w:tcPr>
          <w:p>
            <w:pPr/>
            <w:r>
              <w:t xml:space="preserve">Custom CNN</w:t>
            </w:r>
          </w:p>
        </w:tc>
        <w:tc>
          <w:tcPr>
            <w:tcW w:w="1147" w:type="dxa"/>
          </w:tcPr>
          <w:p>
            <w:pPr/>
            <w:r>
              <w:t xml:space="preserve">0.800</w:t>
            </w:r>
          </w:p>
        </w:tc>
        <w:tc>
          <w:tcPr>
            <w:tcW w:w="1838" w:type="dxa"/>
          </w:tcPr>
          <w:p>
            <w:pPr/>
            <w:r>
              <w:t xml:space="preserve">0.767 - 0.834</w:t>
            </w:r>
          </w:p>
        </w:tc>
        <w:tc>
          <w:tcPr>
            <w:tcW w:w="1049" w:type="dxa"/>
          </w:tcPr>
          <w:p>
            <w:pPr/>
            <w:r>
              <w:t xml:space="preserve">0.699</w:t>
            </w:r>
          </w:p>
        </w:tc>
        <w:tc>
          <w:tcPr>
            <w:tcW w:w="1583" w:type="dxa"/>
          </w:tcPr>
          <w:p>
            <w:pPr/>
            <w:r>
              <w:t xml:space="preserve">0.642 - 0.751</w:t>
            </w:r>
          </w:p>
        </w:tc>
        <w:tc>
          <w:tcPr>
            <w:tcW w:w="1026" w:type="dxa"/>
          </w:tcPr>
          <w:p>
            <w:pPr/>
            <w:r>
              <w:t xml:space="preserve">0.732</w:t>
            </w:r>
          </w:p>
        </w:tc>
        <w:tc>
          <w:tcPr>
            <w:tcW w:w="1040" w:type="dxa"/>
          </w:tcPr>
          <w:p>
            <w:pPr/>
            <w:r>
              <w:t xml:space="preserve">-0.034</w:t>
            </w:r>
          </w:p>
        </w:tc>
      </w:tr>
    </w:tbl>
    <w:p>
      <w:pPr/>
      <w:r>
        <w:t xml:space="preserve">The intervals overlap, so ranking alone is not proof. A paired bootstrap on the same resampled images tests the tuned ResNet50 against each model:</w:t>
      </w:r>
    </w:p>
    <w:tbl>
      <w:tblPr>
        <w:tblStyle w:val="TableGrid"/>
        <w:tblW w:w="0" w:type="auto"/>
        <w:tblLayout w:type="fixed"/>
        <w:tblLook w:val="04A0" w:firstRow="1" w:lastRow="0" w:firstColumn="0" w:lastColumn="0" w:noHBand="0" w:noVBand="1"/>
      </w:tblPr>
      <w:tblGrid>
        <w:gridCol w:w="1833"/>
        <w:gridCol w:w="1398"/>
        <w:gridCol w:w="2380"/>
        <w:gridCol w:w="1780"/>
        <w:gridCol w:w="1969"/>
      </w:tblGrid>
      <w:tr>
        <w:trPr>
          <w:tblHeader/>
        </w:trPr>
        <w:tc>
          <w:tcPr>
            <w:tcW w:w="1833" w:type="dxa"/>
            <w:shd w:val="clear" w:color="auto" w:fill="F2F2F2"/>
          </w:tcPr>
          <w:p>
            <w:pPr/>
            <w:r>
              <w:t xml:space="preserve">Compared with</w:t>
            </w:r>
          </w:p>
        </w:tc>
        <w:tc>
          <w:tcPr>
            <w:tcW w:w="1398" w:type="dxa"/>
            <w:shd w:val="clear" w:color="auto" w:fill="F2F2F2"/>
          </w:tcPr>
          <w:p>
            <w:pPr/>
            <w:r>
              <w:t xml:space="preserve">Mean F1 difference</w:t>
            </w:r>
          </w:p>
        </w:tc>
        <w:tc>
          <w:tcPr>
            <w:tcW w:w="2380" w:type="dxa"/>
            <w:shd w:val="clear" w:color="auto" w:fill="F2F2F2"/>
          </w:tcPr>
          <w:p>
            <w:pPr/>
            <w:r>
              <w:t xml:space="preserve">95% CI of difference</w:t>
            </w:r>
          </w:p>
        </w:tc>
        <w:tc>
          <w:tcPr>
            <w:tcW w:w="1780" w:type="dxa"/>
            <w:shd w:val="clear" w:color="auto" w:fill="F2F2F2"/>
          </w:tcPr>
          <w:p>
            <w:pPr/>
            <w:r>
              <w:t xml:space="preserve">P(tuned better)</w:t>
            </w:r>
          </w:p>
        </w:tc>
        <w:tc>
          <w:tcPr>
            <w:tcW w:w="1969" w:type="dxa"/>
            <w:shd w:val="clear" w:color="auto" w:fill="F2F2F2"/>
          </w:tcPr>
          <w:p>
            <w:pPr/>
            <w:r>
              <w:t xml:space="preserve">Verdict</w:t>
            </w:r>
          </w:p>
        </w:tc>
      </w:tr>
      <w:tr>
        <w:tc>
          <w:tcPr>
            <w:tcW w:w="1833" w:type="dxa"/>
          </w:tcPr>
          <w:p>
            <w:pPr/>
            <w:r>
              <w:t xml:space="preserve">Custom CNN</w:t>
            </w:r>
          </w:p>
        </w:tc>
        <w:tc>
          <w:tcPr>
            <w:tcW w:w="1398" w:type="dxa"/>
          </w:tcPr>
          <w:p>
            <w:pPr/>
            <w:r>
              <w:t xml:space="preserve">+0.187</w:t>
            </w:r>
          </w:p>
        </w:tc>
        <w:tc>
          <w:tcPr>
            <w:tcW w:w="2380" w:type="dxa"/>
          </w:tcPr>
          <w:p>
            <w:pPr/>
            <w:r>
              <w:t xml:space="preserve">+0.123 to +0.251</w:t>
            </w:r>
          </w:p>
        </w:tc>
        <w:tc>
          <w:tcPr>
            <w:tcW w:w="1780" w:type="dxa"/>
          </w:tcPr>
          <w:p>
            <w:pPr/>
            <w:r>
              <w:t xml:space="preserve">1.000</w:t>
            </w:r>
          </w:p>
        </w:tc>
        <w:tc>
          <w:tcPr>
            <w:tcW w:w="1969" w:type="dxa"/>
          </w:tcPr>
          <w:p>
            <w:pPr/>
            <w:r>
              <w:t xml:space="preserve">Clearly better</w:t>
            </w:r>
          </w:p>
        </w:tc>
      </w:tr>
      <w:tr>
        <w:tc>
          <w:tcPr>
            <w:tcW w:w="1833" w:type="dxa"/>
          </w:tcPr>
          <w:p>
            <w:pPr/>
            <w:r>
              <w:t xml:space="preserve">EfficientNetB0</w:t>
            </w:r>
          </w:p>
        </w:tc>
        <w:tc>
          <w:tcPr>
            <w:tcW w:w="1398" w:type="dxa"/>
          </w:tcPr>
          <w:p>
            <w:pPr/>
            <w:r>
              <w:t xml:space="preserve">+0.081</w:t>
            </w:r>
          </w:p>
        </w:tc>
        <w:tc>
          <w:tcPr>
            <w:tcW w:w="2380" w:type="dxa"/>
          </w:tcPr>
          <w:p>
            <w:pPr/>
            <w:r>
              <w:t xml:space="preserve">+0.027 to +0.137</w:t>
            </w:r>
          </w:p>
        </w:tc>
        <w:tc>
          <w:tcPr>
            <w:tcW w:w="1780" w:type="dxa"/>
          </w:tcPr>
          <w:p>
            <w:pPr/>
            <w:r>
              <w:t xml:space="preserve">0.998</w:t>
            </w:r>
          </w:p>
        </w:tc>
        <w:tc>
          <w:tcPr>
            <w:tcW w:w="1969" w:type="dxa"/>
          </w:tcPr>
          <w:p>
            <w:pPr/>
            <w:r>
              <w:t xml:space="preserve">Clearly better</w:t>
            </w:r>
          </w:p>
        </w:tc>
      </w:tr>
      <w:tr>
        <w:tc>
          <w:tcPr>
            <w:tcW w:w="1833" w:type="dxa"/>
          </w:tcPr>
          <w:p>
            <w:pPr/>
            <w:r>
              <w:t xml:space="preserve">MobileNetV2</w:t>
            </w:r>
          </w:p>
        </w:tc>
        <w:tc>
          <w:tcPr>
            <w:tcW w:w="1398" w:type="dxa"/>
          </w:tcPr>
          <w:p>
            <w:pPr/>
            <w:r>
              <w:t xml:space="preserve">+0.063</w:t>
            </w:r>
          </w:p>
        </w:tc>
        <w:tc>
          <w:tcPr>
            <w:tcW w:w="2380" w:type="dxa"/>
          </w:tcPr>
          <w:p>
            <w:pPr/>
            <w:r>
              <w:t xml:space="preserve">+0.013 to +0.115</w:t>
            </w:r>
          </w:p>
        </w:tc>
        <w:tc>
          <w:tcPr>
            <w:tcW w:w="1780" w:type="dxa"/>
          </w:tcPr>
          <w:p>
            <w:pPr/>
            <w:r>
              <w:t xml:space="preserve">0.993</w:t>
            </w:r>
          </w:p>
        </w:tc>
        <w:tc>
          <w:tcPr>
            <w:tcW w:w="1969" w:type="dxa"/>
          </w:tcPr>
          <w:p>
            <w:pPr/>
            <w:r>
              <w:t xml:space="preserve">Clearly better</w:t>
            </w:r>
          </w:p>
        </w:tc>
      </w:tr>
      <w:tr>
        <w:tc>
          <w:tcPr>
            <w:tcW w:w="1833" w:type="dxa"/>
          </w:tcPr>
          <w:p>
            <w:pPr/>
            <w:r>
              <w:t xml:space="preserve">ResNet50</w:t>
            </w:r>
          </w:p>
        </w:tc>
        <w:tc>
          <w:tcPr>
            <w:tcW w:w="1398" w:type="dxa"/>
          </w:tcPr>
          <w:p>
            <w:pPr/>
            <w:r>
              <w:t xml:space="preserve">+0.032</w:t>
            </w:r>
          </w:p>
        </w:tc>
        <w:tc>
          <w:tcPr>
            <w:tcW w:w="2380" w:type="dxa"/>
          </w:tcPr>
          <w:p>
            <w:pPr/>
            <w:r>
              <w:t xml:space="preserve">-0.022 to +0.088</w:t>
            </w:r>
          </w:p>
        </w:tc>
        <w:tc>
          <w:tcPr>
            <w:tcW w:w="1780" w:type="dxa"/>
          </w:tcPr>
          <w:p>
            <w:pPr/>
            <w:r>
              <w:t xml:space="preserve">0.880</w:t>
            </w:r>
          </w:p>
        </w:tc>
        <w:tc>
          <w:tcPr>
            <w:tcW w:w="1969" w:type="dxa"/>
          </w:tcPr>
          <w:p>
            <w:pPr/>
            <w:r>
              <w:t xml:space="preserve">Not distinguishable</w:t>
            </w:r>
          </w:p>
        </w:tc>
      </w:tr>
    </w:tbl>
    <w:p>
      <w:pPr/>
      <w:r>
        <w:t xml:space="preserve">Near-duplicate test images are correlated, so the true uncertainty is slightly wider than these intervals show.</w:t>
      </w:r>
    </w:p>
    <w:p>
      <w:pPr>
        <w:pStyle w:val="Heading2"/>
      </w:pPr>
      <w:r>
        <w:t xml:space="preserve">Error analysis per class</w:t>
      </w:r>
    </w:p>
    <w:p>
      <w:pPr/>
      <w:r>
        <w:t xml:space="preserve">The two rare classes drive the errors. Caries recall on test is 0.607 for the tuned model, down from 0.862 on validation; Discoloration is 0.739.</w:t>
      </w:r>
    </w:p>
    <w:p>
      <w:pPr/>
      <w:r>
        <w:t xml:space="preserve">Per-class recall on test:</w:t>
      </w:r>
    </w:p>
    <w:tbl>
      <w:tblPr>
        <w:tblStyle w:val="TableGrid"/>
        <w:tblW w:w="0" w:type="auto"/>
        <w:tblLayout w:type="fixed"/>
        <w:tblLook w:val="04A0" w:firstRow="1" w:lastRow="0" w:firstColumn="0" w:lastColumn="0" w:noHBand="0" w:noVBand="1"/>
      </w:tblPr>
      <w:tblGrid>
        <w:gridCol w:w="1621"/>
        <w:gridCol w:w="995"/>
        <w:gridCol w:w="1343"/>
        <w:gridCol w:w="1224"/>
        <w:gridCol w:w="1388"/>
        <w:gridCol w:w="1343"/>
        <w:gridCol w:w="1445"/>
      </w:tblGrid>
      <w:tr>
        <w:trPr>
          <w:tblHeader/>
        </w:trPr>
        <w:tc>
          <w:tcPr>
            <w:tcW w:w="1621" w:type="dxa"/>
            <w:shd w:val="clear" w:color="auto" w:fill="F2F2F2"/>
          </w:tcPr>
          <w:p>
            <w:pPr/>
            <w:r>
              <w:t xml:space="preserve">Class</w:t>
            </w:r>
          </w:p>
        </w:tc>
        <w:tc>
          <w:tcPr>
            <w:tcW w:w="995" w:type="dxa"/>
            <w:shd w:val="clear" w:color="auto" w:fill="F2F2F2"/>
          </w:tcPr>
          <w:p>
            <w:pPr/>
            <w:r>
              <w:t xml:space="preserve">Test images</w:t>
            </w:r>
          </w:p>
        </w:tc>
        <w:tc>
          <w:tcPr>
            <w:tcW w:w="1343" w:type="dxa"/>
            <w:shd w:val="clear" w:color="auto" w:fill="F2F2F2"/>
          </w:tcPr>
          <w:p>
            <w:pPr/>
            <w:r>
              <w:t xml:space="preserve">Custom CNN</w:t>
            </w:r>
          </w:p>
        </w:tc>
        <w:tc>
          <w:tcPr>
            <w:tcW w:w="1224" w:type="dxa"/>
            <w:shd w:val="clear" w:color="auto" w:fill="F2F2F2"/>
          </w:tcPr>
          <w:p>
            <w:pPr/>
            <w:r>
              <w:t xml:space="preserve">ResNet50</w:t>
            </w:r>
          </w:p>
        </w:tc>
        <w:tc>
          <w:tcPr>
            <w:tcW w:w="1388" w:type="dxa"/>
            <w:shd w:val="clear" w:color="auto" w:fill="F2F2F2"/>
          </w:tcPr>
          <w:p>
            <w:pPr/>
            <w:r>
              <w:t xml:space="preserve">EfficientNetB0</w:t>
            </w:r>
          </w:p>
        </w:tc>
        <w:tc>
          <w:tcPr>
            <w:tcW w:w="1343" w:type="dxa"/>
            <w:shd w:val="clear" w:color="auto" w:fill="F2F2F2"/>
          </w:tcPr>
          <w:p>
            <w:pPr/>
            <w:r>
              <w:t xml:space="preserve">MobileNetV2</w:t>
            </w:r>
          </w:p>
        </w:tc>
        <w:tc>
          <w:tcPr>
            <w:tcW w:w="1445" w:type="dxa"/>
            <w:shd w:val="clear" w:color="auto" w:fill="F2F2F2"/>
          </w:tcPr>
          <w:p>
            <w:pPr/>
            <w:r>
              <w:t xml:space="preserve">ResNet50 (tuned)</w:t>
            </w:r>
          </w:p>
        </w:tc>
      </w:tr>
      <w:tr>
        <w:tc>
          <w:tcPr>
            <w:tcW w:w="1621" w:type="dxa"/>
          </w:tcPr>
          <w:p>
            <w:pPr/>
            <w:r>
              <w:t xml:space="preserve">Calculus</w:t>
            </w:r>
          </w:p>
        </w:tc>
        <w:tc>
          <w:tcPr>
            <w:tcW w:w="995" w:type="dxa"/>
          </w:tcPr>
          <w:p>
            <w:pPr/>
            <w:r>
              <w:t xml:space="preserve">60</w:t>
            </w:r>
          </w:p>
        </w:tc>
        <w:tc>
          <w:tcPr>
            <w:tcW w:w="1343" w:type="dxa"/>
          </w:tcPr>
          <w:p>
            <w:pPr/>
            <w:r>
              <w:t xml:space="preserve">0.800</w:t>
            </w:r>
          </w:p>
        </w:tc>
        <w:tc>
          <w:tcPr>
            <w:tcW w:w="1224" w:type="dxa"/>
          </w:tcPr>
          <w:p>
            <w:pPr/>
            <w:r>
              <w:t xml:space="preserve">0.933</w:t>
            </w:r>
          </w:p>
        </w:tc>
        <w:tc>
          <w:tcPr>
            <w:tcW w:w="1388" w:type="dxa"/>
          </w:tcPr>
          <w:p>
            <w:pPr/>
            <w:r>
              <w:t xml:space="preserve">0.817</w:t>
            </w:r>
          </w:p>
        </w:tc>
        <w:tc>
          <w:tcPr>
            <w:tcW w:w="1343" w:type="dxa"/>
          </w:tcPr>
          <w:p>
            <w:pPr/>
            <w:r>
              <w:t xml:space="preserve">0.800</w:t>
            </w:r>
          </w:p>
        </w:tc>
        <w:tc>
          <w:tcPr>
            <w:tcW w:w="1445" w:type="dxa"/>
          </w:tcPr>
          <w:p>
            <w:pPr/>
            <w:r>
              <w:t xml:space="preserve">0.950</w:t>
            </w:r>
          </w:p>
        </w:tc>
      </w:tr>
      <w:tr>
        <w:tc>
          <w:tcPr>
            <w:tcW w:w="1621" w:type="dxa"/>
          </w:tcPr>
          <w:p>
            <w:pPr/>
            <w:r>
              <w:t xml:space="preserve">Caries</w:t>
            </w:r>
          </w:p>
        </w:tc>
        <w:tc>
          <w:tcPr>
            <w:tcW w:w="995" w:type="dxa"/>
          </w:tcPr>
          <w:p>
            <w:pPr/>
            <w:r>
              <w:t xml:space="preserve">28</w:t>
            </w:r>
          </w:p>
        </w:tc>
        <w:tc>
          <w:tcPr>
            <w:tcW w:w="1343" w:type="dxa"/>
          </w:tcPr>
          <w:p>
            <w:pPr/>
            <w:r>
              <w:t xml:space="preserve">0.500</w:t>
            </w:r>
          </w:p>
        </w:tc>
        <w:tc>
          <w:tcPr>
            <w:tcW w:w="1224" w:type="dxa"/>
          </w:tcPr>
          <w:p>
            <w:pPr/>
            <w:r>
              <w:t xml:space="preserve">0.571</w:t>
            </w:r>
          </w:p>
        </w:tc>
        <w:tc>
          <w:tcPr>
            <w:tcW w:w="1388" w:type="dxa"/>
          </w:tcPr>
          <w:p>
            <w:pPr/>
            <w:r>
              <w:t xml:space="preserve">0.643</w:t>
            </w:r>
          </w:p>
        </w:tc>
        <w:tc>
          <w:tcPr>
            <w:tcW w:w="1343" w:type="dxa"/>
          </w:tcPr>
          <w:p>
            <w:pPr/>
            <w:r>
              <w:t xml:space="preserve">0.750</w:t>
            </w:r>
          </w:p>
        </w:tc>
        <w:tc>
          <w:tcPr>
            <w:tcW w:w="1445" w:type="dxa"/>
          </w:tcPr>
          <w:p>
            <w:pPr/>
            <w:r>
              <w:t xml:space="preserve">0.607</w:t>
            </w:r>
          </w:p>
        </w:tc>
      </w:tr>
      <w:tr>
        <w:tc>
          <w:tcPr>
            <w:tcW w:w="1621" w:type="dxa"/>
          </w:tcPr>
          <w:p>
            <w:pPr/>
            <w:r>
              <w:t xml:space="preserve">Discoloration</w:t>
            </w:r>
          </w:p>
        </w:tc>
        <w:tc>
          <w:tcPr>
            <w:tcW w:w="995" w:type="dxa"/>
          </w:tcPr>
          <w:p>
            <w:pPr/>
            <w:r>
              <w:t xml:space="preserve">23</w:t>
            </w:r>
          </w:p>
        </w:tc>
        <w:tc>
          <w:tcPr>
            <w:tcW w:w="1343" w:type="dxa"/>
          </w:tcPr>
          <w:p>
            <w:pPr/>
            <w:r>
              <w:t xml:space="preserve">0.478</w:t>
            </w:r>
          </w:p>
        </w:tc>
        <w:tc>
          <w:tcPr>
            <w:tcW w:w="1224" w:type="dxa"/>
          </w:tcPr>
          <w:p>
            <w:pPr/>
            <w:r>
              <w:t xml:space="preserve">0.783</w:t>
            </w:r>
          </w:p>
        </w:tc>
        <w:tc>
          <w:tcPr>
            <w:tcW w:w="1388" w:type="dxa"/>
          </w:tcPr>
          <w:p>
            <w:pPr/>
            <w:r>
              <w:t xml:space="preserve">0.696</w:t>
            </w:r>
          </w:p>
        </w:tc>
        <w:tc>
          <w:tcPr>
            <w:tcW w:w="1343" w:type="dxa"/>
          </w:tcPr>
          <w:p>
            <w:pPr/>
            <w:r>
              <w:t xml:space="preserve">0.565</w:t>
            </w:r>
          </w:p>
        </w:tc>
        <w:tc>
          <w:tcPr>
            <w:tcW w:w="1445" w:type="dxa"/>
          </w:tcPr>
          <w:p>
            <w:pPr/>
            <w:r>
              <w:t xml:space="preserve">0.739</w:t>
            </w:r>
          </w:p>
        </w:tc>
      </w:tr>
      <w:tr>
        <w:tc>
          <w:tcPr>
            <w:tcW w:w="1621" w:type="dxa"/>
          </w:tcPr>
          <w:p>
            <w:pPr/>
            <w:r>
              <w:t xml:space="preserve">Gingivitis</w:t>
            </w:r>
          </w:p>
        </w:tc>
        <w:tc>
          <w:tcPr>
            <w:tcW w:w="995" w:type="dxa"/>
          </w:tcPr>
          <w:p>
            <w:pPr/>
            <w:r>
              <w:t xml:space="preserve">183</w:t>
            </w:r>
          </w:p>
        </w:tc>
        <w:tc>
          <w:tcPr>
            <w:tcW w:w="1343" w:type="dxa"/>
          </w:tcPr>
          <w:p>
            <w:pPr/>
            <w:r>
              <w:t xml:space="preserve">0.754</w:t>
            </w:r>
          </w:p>
        </w:tc>
        <w:tc>
          <w:tcPr>
            <w:tcW w:w="1224" w:type="dxa"/>
          </w:tcPr>
          <w:p>
            <w:pPr/>
            <w:r>
              <w:t xml:space="preserve">0.929</w:t>
            </w:r>
          </w:p>
        </w:tc>
        <w:tc>
          <w:tcPr>
            <w:tcW w:w="1388" w:type="dxa"/>
          </w:tcPr>
          <w:p>
            <w:pPr/>
            <w:r>
              <w:t xml:space="preserve">0.907</w:t>
            </w:r>
          </w:p>
        </w:tc>
        <w:tc>
          <w:tcPr>
            <w:tcW w:w="1343" w:type="dxa"/>
          </w:tcPr>
          <w:p>
            <w:pPr/>
            <w:r>
              <w:t xml:space="preserve">0.940</w:t>
            </w:r>
          </w:p>
        </w:tc>
        <w:tc>
          <w:tcPr>
            <w:tcW w:w="1445" w:type="dxa"/>
          </w:tcPr>
          <w:p>
            <w:pPr/>
            <w:r>
              <w:t xml:space="preserve">0.973</w:t>
            </w:r>
          </w:p>
        </w:tc>
      </w:tr>
      <w:tr>
        <w:tc>
          <w:tcPr>
            <w:tcW w:w="1621" w:type="dxa"/>
          </w:tcPr>
          <w:p>
            <w:pPr/>
            <w:r>
              <w:t xml:space="preserve">Hypodontia</w:t>
            </w:r>
          </w:p>
        </w:tc>
        <w:tc>
          <w:tcPr>
            <w:tcW w:w="995" w:type="dxa"/>
          </w:tcPr>
          <w:p>
            <w:pPr/>
            <w:r>
              <w:t xml:space="preserve">180</w:t>
            </w:r>
          </w:p>
        </w:tc>
        <w:tc>
          <w:tcPr>
            <w:tcW w:w="1343" w:type="dxa"/>
          </w:tcPr>
          <w:p>
            <w:pPr/>
            <w:r>
              <w:t xml:space="preserve">0.917</w:t>
            </w:r>
          </w:p>
        </w:tc>
        <w:tc>
          <w:tcPr>
            <w:tcW w:w="1224" w:type="dxa"/>
          </w:tcPr>
          <w:p>
            <w:pPr/>
            <w:r>
              <w:t xml:space="preserve">0.961</w:t>
            </w:r>
          </w:p>
        </w:tc>
        <w:tc>
          <w:tcPr>
            <w:tcW w:w="1388" w:type="dxa"/>
          </w:tcPr>
          <w:p>
            <w:pPr/>
            <w:r>
              <w:t xml:space="preserve">0.906</w:t>
            </w:r>
          </w:p>
        </w:tc>
        <w:tc>
          <w:tcPr>
            <w:tcW w:w="1343" w:type="dxa"/>
          </w:tcPr>
          <w:p>
            <w:pPr/>
            <w:r>
              <w:t xml:space="preserve">0.906</w:t>
            </w:r>
          </w:p>
        </w:tc>
        <w:tc>
          <w:tcPr>
            <w:tcW w:w="1445" w:type="dxa"/>
          </w:tcPr>
          <w:p>
            <w:pPr/>
            <w:r>
              <w:t xml:space="preserve">0.994</w:t>
            </w:r>
          </w:p>
        </w:tc>
      </w:tr>
      <w:tr>
        <w:tc>
          <w:tcPr>
            <w:tcW w:w="1621" w:type="dxa"/>
          </w:tcPr>
          <w:p>
            <w:pPr/>
            <w:r>
              <w:t xml:space="preserve">Mouth_Ulcer</w:t>
            </w:r>
          </w:p>
        </w:tc>
        <w:tc>
          <w:tcPr>
            <w:tcW w:w="995" w:type="dxa"/>
          </w:tcPr>
          <w:p>
            <w:pPr/>
            <w:r>
              <w:t xml:space="preserve">32</w:t>
            </w:r>
          </w:p>
        </w:tc>
        <w:tc>
          <w:tcPr>
            <w:tcW w:w="1343" w:type="dxa"/>
          </w:tcPr>
          <w:p>
            <w:pPr/>
            <w:r>
              <w:t xml:space="preserve">0.906</w:t>
            </w:r>
          </w:p>
        </w:tc>
        <w:tc>
          <w:tcPr>
            <w:tcW w:w="1224" w:type="dxa"/>
          </w:tcPr>
          <w:p>
            <w:pPr/>
            <w:r>
              <w:t xml:space="preserve">1.000</w:t>
            </w:r>
          </w:p>
        </w:tc>
        <w:tc>
          <w:tcPr>
            <w:tcW w:w="1388" w:type="dxa"/>
          </w:tcPr>
          <w:p>
            <w:pPr/>
            <w:r>
              <w:t xml:space="preserve">1.000</w:t>
            </w:r>
          </w:p>
        </w:tc>
        <w:tc>
          <w:tcPr>
            <w:tcW w:w="1343" w:type="dxa"/>
          </w:tcPr>
          <w:p>
            <w:pPr/>
            <w:r>
              <w:t xml:space="preserve">1.000</w:t>
            </w:r>
          </w:p>
        </w:tc>
        <w:tc>
          <w:tcPr>
            <w:tcW w:w="1445" w:type="dxa"/>
          </w:tcPr>
          <w:p>
            <w:pPr/>
            <w:r>
              <w:t xml:space="preserve">0.969</w:t>
            </w:r>
          </w:p>
        </w:tc>
      </w:tr>
    </w:tbl>
    <w:p>
      <w:pPr/>
      <w:r>
        <w:t xml:space="preserve">Most frequent mistakes of the tuned ResNet50 (true class to predicted class):</w:t>
      </w:r>
    </w:p>
    <w:p>
      <w:pPr>
        <w:pStyle w:val="ListParagraph"/>
        <w:numPr>
          <w:ilvl w:val="0"/>
          <w:numId w:val="4"/>
        </w:numPr>
      </w:pPr>
      <w:r>
        <w:t xml:space="preserve">Caries to Discoloration: 4</w:t>
      </w:r>
    </w:p>
    <w:p>
      <w:pPr>
        <w:pStyle w:val="ListParagraph"/>
        <w:numPr>
          <w:ilvl w:val="0"/>
          <w:numId w:val="4"/>
        </w:numPr>
      </w:pPr>
      <w:r>
        <w:t xml:space="preserve">Calculus to Gingivitis: 3</w:t>
      </w:r>
    </w:p>
    <w:p>
      <w:pPr>
        <w:pStyle w:val="ListParagraph"/>
        <w:numPr>
          <w:ilvl w:val="0"/>
          <w:numId w:val="4"/>
        </w:numPr>
      </w:pPr>
      <w:r>
        <w:t xml:space="preserve">Caries to Gingivitis: 3</w:t>
      </w:r>
    </w:p>
    <w:p>
      <w:pPr>
        <w:pStyle w:val="ListParagraph"/>
        <w:numPr>
          <w:ilvl w:val="0"/>
          <w:numId w:val="4"/>
        </w:numPr>
      </w:pPr>
      <w:r>
        <w:t xml:space="preserve">Caries to Hypodontia: 2</w:t>
      </w:r>
    </w:p>
    <w:p>
      <w:pPr>
        <w:pStyle w:val="ListParagraph"/>
        <w:numPr>
          <w:ilvl w:val="0"/>
          <w:numId w:val="4"/>
        </w:numPr>
      </w:pPr>
      <w:r>
        <w:t xml:space="preserve">Discoloration to Calculus: 2</w:t>
      </w:r>
    </w:p>
    <w:p>
      <w:pPr>
        <w:pStyle w:val="ListParagraph"/>
        <w:numPr>
          <w:ilvl w:val="0"/>
          <w:numId w:val="4"/>
        </w:numPr>
      </w:pPr>
      <w:r>
        <w:t xml:space="preserve">Discoloration to Caries: 2</w:t>
      </w:r>
    </w:p>
    <w:p>
      <w:pPr>
        <w:pStyle w:val="ListParagraph"/>
        <w:numPr>
          <w:ilvl w:val="0"/>
          <w:numId w:val="4"/>
        </w:numPr>
      </w:pPr>
      <w:r>
        <w:t xml:space="preserve">Gingivitis to Calculus: 2</w:t>
      </w:r>
    </w:p>
    <w:p>
      <w:pPr>
        <w:pStyle w:val="ListParagraph"/>
        <w:numPr>
          <w:ilvl w:val="0"/>
          <w:numId w:val="4"/>
        </w:numPr>
      </w:pPr>
      <w:r>
        <w:t xml:space="preserve">Gingivitis to Caries: 2</w:t>
      </w:r>
    </w:p>
    <w:p>
      <w:pPr/>
      <w:r>
        <w:t xml:space="preserve">With 28 and 23 images, one extra mistake moves Caries recall by 3.6 points and Discoloration by 4.3. Per-class differences between models are mostly within that noise. Precision of the tuned model is 0.919 for Calculus, 0.810 for Caries, 0.773 for Discoloration, 0.957 for Gingivitis, 0.978 for Hypodontia and 0.969 for Mouth_Ulcer.</w:t>
      </w:r>
    </w:p>
    <w:p>
      <w:pPr>
        <w:pStyle w:val="Heading2"/>
      </w:pPr>
      <w:r>
        <w:t xml:space="preserve">Practical comparison: size and speed</w:t>
      </w:r>
    </w:p>
    <w:p>
      <w:pPr/>
      <w:r>
        <w:t xml:space="preserve">MobileNetV2 is 4.4 times smaller than the tuned ResNet50 and 2.5 times faster, for 0.062 less macro-F1. Speed is per image on a Kaggle T4 GPU in batches of 32; a CPU in the app will be slower, which is fine for one image at a time.</w:t>
      </w:r>
    </w:p>
    <w:tbl>
      <w:tblPr>
        <w:tblStyle w:val="TableGrid"/>
        <w:tblW w:w="0" w:type="auto"/>
        <w:tblLayout w:type="fixed"/>
        <w:tblLook w:val="04A0" w:firstRow="1" w:lastRow="0" w:firstColumn="0" w:lastColumn="0" w:noHBand="0" w:noVBand="1"/>
      </w:tblPr>
      <w:tblGrid>
        <w:gridCol w:w="2016"/>
        <w:gridCol w:w="1590"/>
        <w:gridCol w:w="1617"/>
        <w:gridCol w:w="1476"/>
        <w:gridCol w:w="1270"/>
        <w:gridCol w:w="1391"/>
      </w:tblGrid>
      <w:tr>
        <w:trPr>
          <w:tblHeader/>
        </w:trPr>
        <w:tc>
          <w:tcPr>
            <w:tcW w:w="2016" w:type="dxa"/>
            <w:shd w:val="clear" w:color="auto" w:fill="F2F2F2"/>
          </w:tcPr>
          <w:p>
            <w:pPr/>
            <w:r>
              <w:t xml:space="preserve">Model</w:t>
            </w:r>
          </w:p>
        </w:tc>
        <w:tc>
          <w:tcPr>
            <w:tcW w:w="1590" w:type="dxa"/>
            <w:shd w:val="clear" w:color="auto" w:fill="F2F2F2"/>
          </w:tcPr>
          <w:p>
            <w:pPr/>
            <w:r>
              <w:t xml:space="preserve">Test accuracy</w:t>
            </w:r>
          </w:p>
        </w:tc>
        <w:tc>
          <w:tcPr>
            <w:tcW w:w="1617" w:type="dxa"/>
            <w:shd w:val="clear" w:color="auto" w:fill="F2F2F2"/>
          </w:tcPr>
          <w:p>
            <w:pPr/>
            <w:r>
              <w:t xml:space="preserve">Test macro-F1</w:t>
            </w:r>
          </w:p>
        </w:tc>
        <w:tc>
          <w:tcPr>
            <w:tcW w:w="1476" w:type="dxa"/>
            <w:shd w:val="clear" w:color="auto" w:fill="F2F2F2"/>
          </w:tcPr>
          <w:p>
            <w:pPr/>
            <w:r>
              <w:t xml:space="preserve">Params (M)</w:t>
            </w:r>
          </w:p>
        </w:tc>
        <w:tc>
          <w:tcPr>
            <w:tcW w:w="1270" w:type="dxa"/>
            <w:shd w:val="clear" w:color="auto" w:fill="F2F2F2"/>
          </w:tcPr>
          <w:p>
            <w:pPr/>
            <w:r>
              <w:t xml:space="preserve">File (MB)</w:t>
            </w:r>
          </w:p>
        </w:tc>
        <w:tc>
          <w:tcPr>
            <w:tcW w:w="1391" w:type="dxa"/>
            <w:shd w:val="clear" w:color="auto" w:fill="F2F2F2"/>
          </w:tcPr>
          <w:p>
            <w:pPr/>
            <w:r>
              <w:t xml:space="preserve">ms per image</w:t>
            </w:r>
          </w:p>
        </w:tc>
      </w:tr>
      <w:tr>
        <w:tc>
          <w:tcPr>
            <w:tcW w:w="2016" w:type="dxa"/>
          </w:tcPr>
          <w:p>
            <w:pPr/>
            <w:r>
              <w:t xml:space="preserve">ResNet50 (tuned)</w:t>
            </w:r>
          </w:p>
        </w:tc>
        <w:tc>
          <w:tcPr>
            <w:tcW w:w="1590" w:type="dxa"/>
          </w:tcPr>
          <w:p>
            <w:pPr/>
            <w:r>
              <w:t xml:space="preserve">0.947</w:t>
            </w:r>
          </w:p>
        </w:tc>
        <w:tc>
          <w:tcPr>
            <w:tcW w:w="1617" w:type="dxa"/>
          </w:tcPr>
          <w:p>
            <w:pPr/>
            <w:r>
              <w:t xml:space="preserve">0.884</w:t>
            </w:r>
          </w:p>
        </w:tc>
        <w:tc>
          <w:tcPr>
            <w:tcW w:w="1476" w:type="dxa"/>
          </w:tcPr>
          <w:p>
            <w:pPr/>
            <w:r>
              <w:t xml:space="preserve">23.6</w:t>
            </w:r>
          </w:p>
        </w:tc>
        <w:tc>
          <w:tcPr>
            <w:tcW w:w="1270" w:type="dxa"/>
          </w:tcPr>
          <w:p>
            <w:pPr/>
            <w:r>
              <w:t xml:space="preserve">95.1</w:t>
            </w:r>
          </w:p>
        </w:tc>
        <w:tc>
          <w:tcPr>
            <w:tcW w:w="1391" w:type="dxa"/>
          </w:tcPr>
          <w:p>
            <w:pPr/>
            <w:r>
              <w:t xml:space="preserve">3.90</w:t>
            </w:r>
          </w:p>
        </w:tc>
      </w:tr>
      <w:tr>
        <w:tc>
          <w:tcPr>
            <w:tcW w:w="2016" w:type="dxa"/>
          </w:tcPr>
          <w:p>
            <w:pPr/>
            <w:r>
              <w:t xml:space="preserve">ResNet50</w:t>
            </w:r>
          </w:p>
        </w:tc>
        <w:tc>
          <w:tcPr>
            <w:tcW w:w="1590" w:type="dxa"/>
          </w:tcPr>
          <w:p>
            <w:pPr/>
            <w:r>
              <w:t xml:space="preserve">0.919</w:t>
            </w:r>
          </w:p>
        </w:tc>
        <w:tc>
          <w:tcPr>
            <w:tcW w:w="1617" w:type="dxa"/>
          </w:tcPr>
          <w:p>
            <w:pPr/>
            <w:r>
              <w:t xml:space="preserve">0.852</w:t>
            </w:r>
          </w:p>
        </w:tc>
        <w:tc>
          <w:tcPr>
            <w:tcW w:w="1476" w:type="dxa"/>
          </w:tcPr>
          <w:p>
            <w:pPr/>
            <w:r>
              <w:t xml:space="preserve">23.6</w:t>
            </w:r>
          </w:p>
        </w:tc>
        <w:tc>
          <w:tcPr>
            <w:tcW w:w="1270" w:type="dxa"/>
          </w:tcPr>
          <w:p>
            <w:pPr/>
            <w:r>
              <w:t xml:space="preserve">210.6</w:t>
            </w:r>
          </w:p>
        </w:tc>
        <w:tc>
          <w:tcPr>
            <w:tcW w:w="1391" w:type="dxa"/>
          </w:tcPr>
          <w:p>
            <w:pPr/>
            <w:r>
              <w:t xml:space="preserve">3.84</w:t>
            </w:r>
          </w:p>
        </w:tc>
      </w:tr>
      <w:tr>
        <w:tc>
          <w:tcPr>
            <w:tcW w:w="2016" w:type="dxa"/>
          </w:tcPr>
          <w:p>
            <w:pPr/>
            <w:r>
              <w:t xml:space="preserve">MobileNetV2</w:t>
            </w:r>
          </w:p>
        </w:tc>
        <w:tc>
          <w:tcPr>
            <w:tcW w:w="1590" w:type="dxa"/>
          </w:tcPr>
          <w:p>
            <w:pPr/>
            <w:r>
              <w:t xml:space="preserve">0.887</w:t>
            </w:r>
          </w:p>
        </w:tc>
        <w:tc>
          <w:tcPr>
            <w:tcW w:w="1617" w:type="dxa"/>
          </w:tcPr>
          <w:p>
            <w:pPr/>
            <w:r>
              <w:t xml:space="preserve">0.822</w:t>
            </w:r>
          </w:p>
        </w:tc>
        <w:tc>
          <w:tcPr>
            <w:tcW w:w="1476" w:type="dxa"/>
          </w:tcPr>
          <w:p>
            <w:pPr/>
            <w:r>
              <w:t xml:space="preserve">2.27</w:t>
            </w:r>
          </w:p>
        </w:tc>
        <w:tc>
          <w:tcPr>
            <w:tcW w:w="1270" w:type="dxa"/>
          </w:tcPr>
          <w:p>
            <w:pPr/>
            <w:r>
              <w:t xml:space="preserve">21.8</w:t>
            </w:r>
          </w:p>
        </w:tc>
        <w:tc>
          <w:tcPr>
            <w:tcW w:w="1391" w:type="dxa"/>
          </w:tcPr>
          <w:p>
            <w:pPr/>
            <w:r>
              <w:t xml:space="preserve">1.57</w:t>
            </w:r>
          </w:p>
        </w:tc>
      </w:tr>
      <w:tr>
        <w:tc>
          <w:tcPr>
            <w:tcW w:w="2016" w:type="dxa"/>
          </w:tcPr>
          <w:p>
            <w:pPr/>
            <w:r>
              <w:t xml:space="preserve">EfficientNetB0</w:t>
            </w:r>
          </w:p>
        </w:tc>
        <w:tc>
          <w:tcPr>
            <w:tcW w:w="1590" w:type="dxa"/>
          </w:tcPr>
          <w:p>
            <w:pPr/>
            <w:r>
              <w:t xml:space="preserve">0.877</w:t>
            </w:r>
          </w:p>
        </w:tc>
        <w:tc>
          <w:tcPr>
            <w:tcW w:w="1617" w:type="dxa"/>
          </w:tcPr>
          <w:p>
            <w:pPr/>
            <w:r>
              <w:t xml:space="preserve">0.804</w:t>
            </w:r>
          </w:p>
        </w:tc>
        <w:tc>
          <w:tcPr>
            <w:tcW w:w="1476" w:type="dxa"/>
          </w:tcPr>
          <w:p>
            <w:pPr/>
            <w:r>
              <w:t xml:space="preserve">4.06</w:t>
            </w:r>
          </w:p>
        </w:tc>
        <w:tc>
          <w:tcPr>
            <w:tcW w:w="1270" w:type="dxa"/>
          </w:tcPr>
          <w:p>
            <w:pPr/>
            <w:r>
              <w:t xml:space="preserve">29.0</w:t>
            </w:r>
          </w:p>
        </w:tc>
        <w:tc>
          <w:tcPr>
            <w:tcW w:w="1391" w:type="dxa"/>
          </w:tcPr>
          <w:p>
            <w:pPr/>
            <w:r>
              <w:t xml:space="preserve">2.26</w:t>
            </w:r>
          </w:p>
        </w:tc>
      </w:tr>
      <w:tr>
        <w:tc>
          <w:tcPr>
            <w:tcW w:w="2016" w:type="dxa"/>
          </w:tcPr>
          <w:p>
            <w:pPr/>
            <w:r>
              <w:t xml:space="preserve">Custom CNN</w:t>
            </w:r>
          </w:p>
        </w:tc>
        <w:tc>
          <w:tcPr>
            <w:tcW w:w="1590" w:type="dxa"/>
          </w:tcPr>
          <w:p>
            <w:pPr/>
            <w:r>
              <w:t xml:space="preserve">0.800</w:t>
            </w:r>
          </w:p>
        </w:tc>
        <w:tc>
          <w:tcPr>
            <w:tcW w:w="1617" w:type="dxa"/>
          </w:tcPr>
          <w:p>
            <w:pPr/>
            <w:r>
              <w:t xml:space="preserve">0.699</w:t>
            </w:r>
          </w:p>
        </w:tc>
        <w:tc>
          <w:tcPr>
            <w:tcW w:w="1476" w:type="dxa"/>
          </w:tcPr>
          <w:p>
            <w:pPr/>
            <w:r>
              <w:t xml:space="preserve">1.21</w:t>
            </w:r>
          </w:p>
        </w:tc>
        <w:tc>
          <w:tcPr>
            <w:tcW w:w="1270" w:type="dxa"/>
          </w:tcPr>
          <w:p>
            <w:pPr/>
            <w:r>
              <w:t xml:space="preserve">14.6</w:t>
            </w:r>
          </w:p>
        </w:tc>
        <w:tc>
          <w:tcPr>
            <w:tcW w:w="1391" w:type="dxa"/>
          </w:tcPr>
          <w:p>
            <w:pPr/>
            <w:r>
              <w:t xml:space="preserve">1.75</w:t>
            </w:r>
          </w:p>
        </w:tc>
      </w:tr>
    </w:tbl>
    <w:p>
      <w:pPr/>
      <w:r>
        <w:t xml:space="preserve">The untuned ResNet50 file is larger only because it was saved with optimizer state; the tuned file was re-saved without it.</w:t>
      </w:r>
    </w:p>
    <w:p>
      <w:pPr>
        <w:pStyle w:val="Heading2"/>
      </w:pPr>
      <w:r>
        <w:t xml:space="preserve">Limitations and recommendation</w:t>
      </w:r>
    </w:p>
    <w:p>
      <w:pPr/>
      <w:r>
        <w:t xml:space="preserve">Deploy the tuned ResNet50. It was chosen on validation before the test set was opened, and it came first on test. If model size matters more than the last few points of accuracy, MobileNetV2 is the fallback.</w:t>
      </w:r>
    </w:p>
    <w:p>
      <w:pPr/>
      <w:r>
        <w:t xml:space="preserve">Limitations to state in the report:</w:t>
      </w:r>
    </w:p>
    <w:p>
      <w:pPr>
        <w:pStyle w:val="ListParagraph"/>
        <w:numPr>
          <w:ilvl w:val="0"/>
          <w:numId w:val="5"/>
        </w:numPr>
      </w:pPr>
      <w:r>
        <w:t xml:space="preserve">The tuned model is not provably better than the untuned ResNet50 (CI of the difference includes zero), so the tuning gain should not be claimed as established.</w:t>
      </w:r>
    </w:p>
    <w:p>
      <w:pPr>
        <w:pStyle w:val="ListParagraph"/>
        <w:numPr>
          <w:ilvl w:val="0"/>
          <w:numId w:val="5"/>
        </w:numPr>
      </w:pPr>
      <w:r>
        <w:t xml:space="preserve">Caries and Discoloration are unreliable: 28 and 23 test images give wide intervals, and Caries recall fell sharply from validation to test.</w:t>
      </w:r>
    </w:p>
    <w:p>
      <w:pPr>
        <w:pStyle w:val="ListParagraph"/>
        <w:numPr>
          <w:ilvl w:val="0"/>
          <w:numId w:val="5"/>
        </w:numPr>
      </w:pPr>
      <w:r>
        <w:t xml:space="preserve">Validation was used twice (hyperparameter choice and best-epoch choice), so validation scores are optimistic; only test numbers are honest.</w:t>
      </w:r>
    </w:p>
    <w:p>
      <w:pPr>
        <w:pStyle w:val="ListParagraph"/>
        <w:numPr>
          <w:ilvl w:val="0"/>
          <w:numId w:val="5"/>
        </w:numPr>
      </w:pPr>
      <w:r>
        <w:t xml:space="preserve">Results come from one split and one training seed per model. A different seed or split could change close rankings.</w:t>
      </w:r>
    </w:p>
    <w:p>
      <w:pPr>
        <w:pStyle w:val="ListParagraph"/>
        <w:numPr>
          <w:ilvl w:val="0"/>
          <w:numId w:val="5"/>
        </w:numPr>
      </w:pPr>
      <w:r>
        <w:t xml:space="preserve">Test images are correlated near-duplicates in groups, so the confidence intervals are slightly too narrow.</w:t>
      </w:r>
    </w:p>
    <w:p>
      <w:pPr>
        <w:pStyle w:val="ListParagraph"/>
        <w:numPr>
          <w:ilvl w:val="0"/>
          <w:numId w:val="5"/>
        </w:numPr>
      </w:pPr>
      <w:r>
        <w:t xml:space="preserve">The data is a single public dataset; performance on photos from other cameras or clinics is untested, and the app is a screening aid, not a diagnosis.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Oral Diseases Classification Model Comparison Report</dc:title>
  <dc:description>Claude Docs node/38025941-fdc0@7 docx-w7</dc:description>
  <cp:revision>7</cp:revision>
</cp:coreProperties>
</file>