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HerHealthGPT-LU — Design Spec</w:t>
      </w:r>
    </w:p>
    <w:p>
      <w:pPr>
        <w:pStyle w:val="BodyText"/>
        <w:bidi w:val="0"/>
        <w:jc w:val="start"/>
        <w:rPr/>
      </w:pPr>
      <w:r>
        <w:rPr>
          <w:b/>
        </w:rPr>
        <w:t>Date:</w:t>
      </w:r>
      <w:r>
        <w:rPr/>
        <w:t xml:space="preserve"> 2026-07-06 · </w:t>
      </w:r>
      <w:r>
        <w:rPr>
          <w:b/>
        </w:rPr>
        <w:t>Deadline:</w:t>
      </w:r>
      <w:r>
        <w:rPr/>
        <w:t xml:space="preserve"> LUHME 2026 submission, 15 July 2026 (OpenReview, ACL template, 8 pages max, double-blind) </w:t>
      </w:r>
      <w:r>
        <w:rPr>
          <w:b/>
        </w:rPr>
        <w:t>Team:</w:t>
      </w:r>
      <w:r>
        <w:rPr/>
        <w:t xml:space="preserve"> Mazen, Hana, Hassan, Mariam · </w:t>
      </w:r>
      <w:r>
        <w:rPr>
          <w:b/>
        </w:rPr>
        <w:t>Supervisor:</w:t>
      </w:r>
      <w:r>
        <w:rPr/>
        <w:t xml:space="preserve"> Dr. Rahatara Ferdousi</w:t>
      </w:r>
    </w:p>
    <w:p>
      <w:pPr>
        <w:pStyle w:val="Heading2"/>
        <w:bidi w:val="0"/>
        <w:ind w:hanging="0" w:start="0"/>
        <w:jc w:val="start"/>
        <w:rPr/>
      </w:pPr>
      <w:r>
        <w:rPr/>
        <w:t>1. Paper framing</w:t>
      </w:r>
    </w:p>
    <w:p>
      <w:pPr>
        <w:pStyle w:val="BodyText"/>
        <w:bidi w:val="0"/>
        <w:jc w:val="start"/>
        <w:rPr/>
      </w:pPr>
      <w:r>
        <w:rPr>
          <w:b/>
        </w:rPr>
        <w:t>Working title:</w:t>
      </w:r>
      <w:r>
        <w:rPr/>
        <w:t xml:space="preserve"> </w:t>
      </w:r>
      <w:r>
        <w:rPr>
          <w:i/>
        </w:rPr>
        <w:t>HerHealthGPT-LU: A Multilingual Benchmark for Evaluating LLM Understanding of PCOS and Infertility Symptom Communication</w:t>
      </w:r>
    </w:p>
    <w:p>
      <w:pPr>
        <w:pStyle w:val="BodyText"/>
        <w:bidi w:val="0"/>
        <w:jc w:val="start"/>
        <w:rPr/>
      </w:pPr>
      <w:r>
        <w:rPr>
          <w:b/>
        </w:rPr>
        <w:t>Research question:</w:t>
      </w:r>
      <w:r>
        <w:rPr/>
        <w:t xml:space="preserve"> How well do LLMs interpret clinical, layperson, indirect, ambiguous, and emotionally-expressed descriptions of PCOS/hormonal and infertility symptoms across English, French, and Arabic — and does multilingual fine-tuning reduce misunderstanding?</w:t>
      </w:r>
    </w:p>
    <w:p>
      <w:pPr>
        <w:pStyle w:val="BodyText"/>
        <w:bidi w:val="0"/>
        <w:jc w:val="start"/>
        <w:rPr/>
      </w:pPr>
      <w:r>
        <w:rPr>
          <w:b/>
        </w:rPr>
        <w:t>Contributions: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Dataset</w:t>
      </w:r>
      <w:r>
        <w:rPr/>
        <w:t xml:space="preserve"> — a human-validated multilingual benchmark of symptom expressions for two conditions.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Evaluation</w:t>
      </w:r>
      <w:r>
        <w:rPr/>
        <w:t xml:space="preserve"> — metrics targeting misunderstanding, safety, clarification behavior, and cross-language/cross-style consistency.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Analysis</w:t>
      </w:r>
      <w:r>
        <w:rPr/>
        <w:t xml:space="preserve"> — systematic error taxonomy of how and why LLMs misunderstand women's-health language.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Adaptation evidence</w:t>
      </w:r>
      <w:r>
        <w:rPr/>
        <w:t xml:space="preserve"> — whether LoRA fine-tuning on multilingual women's-health data reduces misunderstanding.</w:t>
      </w:r>
    </w:p>
    <w:p>
      <w:pPr>
        <w:pStyle w:val="BodyText"/>
        <w:bidi w:val="0"/>
        <w:jc w:val="start"/>
        <w:rPr/>
      </w:pPr>
      <w:r>
        <w:rPr/>
        <w:t>Framed as a language-understanding problem in a high-stakes domain (LUHME topics: socio-cultural aspects of LU; effects and risks of misunderstanding; LLMs for generating/evaluating linguistic data).</w:t>
      </w:r>
    </w:p>
    <w:p>
      <w:pPr>
        <w:pStyle w:val="Heading2"/>
        <w:bidi w:val="0"/>
        <w:ind w:hanging="0" w:start="0"/>
        <w:jc w:val="start"/>
        <w:rPr/>
      </w:pPr>
      <w:r>
        <w:rPr/>
        <w:t>2. Datasets — two strictly separated sets</w:t>
      </w:r>
    </w:p>
    <w:p>
      <w:pPr>
        <w:pStyle w:val="Heading3"/>
        <w:bidi w:val="0"/>
        <w:ind w:hanging="0" w:start="0"/>
        <w:jc w:val="start"/>
        <w:rPr/>
      </w:pPr>
      <w:r>
        <w:rPr/>
        <w:t>2A. Evaluation benchmark (gold, small, human-validated)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~130 seed cases</w:t>
      </w:r>
      <w:r>
        <w:rPr/>
        <w:t>: ~70 PCOS/hormonal, ~60 infertility.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Gold labels (condition, risk level, action) grounded in: NHS PCOS symptoms page, NHS heavy-periods page, NHS infertility page, CDC PCOS page, NIH endometriosis/infertility resources.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Authentic patient phrasing mined from MENST (huggingface.co/datasets/proadhikary/MENST) and iCliniq / HealthCareMagic (ChatDoctor corpora on Hugging Face).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5 expression styles per seed</w:t>
      </w:r>
      <w:r>
        <w:rPr/>
        <w:t>: clinical, layperson, indirect/culturally sensitive, ambiguous, emotionally concerned. GPT-assisted generation; every English item manually reviewed by the team. ≈ 650 English items.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Translation to French and Arabic</w:t>
      </w:r>
      <w:r>
        <w:rPr/>
        <w:t>: GPT/NLLB-200 first pass → validated by a native speaker (fluency, naturalness) and a linguistic reviewer (meaning preservation, ambiguity, cultural appropriateness), with a documented rubric. Total ≈ 1,950 items.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Item schema:</w:t>
      </w:r>
      <w:r>
        <w:rPr/>
        <w:t xml:space="preserve"> </w:t>
      </w:r>
      <w:r>
        <w:rPr>
          <w:rFonts w:ascii="Liberation Mono" w:hAnsi="Liberation Mono"/>
        </w:rPr>
        <w:t>case_id, condition, style, language, text, gold_condition, gold_risk_level {routine | see-doctor | urgent}, gold_action, requires_clarification {yes|no}, source_url, validation_status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2B. Fine-tuning corpus (silver, larger, spot-checked)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Keyword-filter MENST + HealthCareMagic + iCliniq for PCOS / hormonal / menstrual-irregularity / fertility content → </w:t>
      </w:r>
      <w:r>
        <w:rPr>
          <w:b/>
        </w:rPr>
        <w:t>~3,000–5,000 QA pairs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Machine-translate to FR/AR; spot-check ~5%. No full human validation (stated honestly in the paper).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Leakage control:</w:t>
      </w:r>
      <w:r>
        <w:rPr/>
        <w:t xml:space="preserve"> every dataset item that inspired a benchmark seed is logged and excluded from 2B. No benchmark text (any language) appears in 2B.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Models and experiments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LLaMA-3-8B-Instruct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English-centric baseline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Qwen3.5-9B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Multilingual base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Qwen3.5-9B + LoRA on corpus 2B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Fine-tuned model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three evaluated </w:t>
      </w:r>
      <w:r>
        <w:rPr>
          <w:b/>
        </w:rPr>
        <w:t>zero-shot</w:t>
      </w:r>
      <w:r>
        <w:rPr/>
        <w:t xml:space="preserve"> on the full benchmark with one fixed prompt: interpret the symptom, assess urgency, recommend an action, ask for clarification if the description is insufficient.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Thinking mode OFF</w:t>
      </w:r>
      <w:r>
        <w:rPr/>
        <w:t xml:space="preserve"> for all Qwen3.5 runs; fine-tune with the non-thinking chat template so train/eval match. Documented in the paper.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Fallback rule:</w:t>
      </w:r>
      <w:r>
        <w:rPr/>
        <w:t xml:space="preserve"> if Qwen3.5-9B inference or LoRA does not run on the cluster by end of Day 1 (recent vLLM/transformers required for its hybrid GatedDeltaNet architecture), switch to Qwen2.5-7B-Instruct immediately. No environment debugging past Day 1.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Stretch goal only:</w:t>
      </w:r>
      <w:r>
        <w:rPr/>
        <w:t xml:space="preserve"> RAG over the NHS/CDC/NIH corpus on top of M3. Cut without discussion if anything slips.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Evaluation</w:t>
      </w:r>
    </w:p>
    <w:p>
      <w:pPr>
        <w:pStyle w:val="BodyText"/>
        <w:bidi w:val="0"/>
        <w:jc w:val="start"/>
        <w:rPr/>
      </w:pPr>
      <w:r>
        <w:rPr>
          <w:b/>
        </w:rPr>
        <w:t>Metrics: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Misunderstanding rate (wrong condition interpretation)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Severity error rate, highlighting under-triage of </w:t>
      </w:r>
      <w:r>
        <w:rPr>
          <w:rFonts w:ascii="Liberation Mono" w:hAnsi="Liberation Mono"/>
        </w:rPr>
        <w:t>urgent</w:t>
      </w:r>
      <w:r>
        <w:rPr/>
        <w:t xml:space="preserve"> cases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Unsafe-response rate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Clarification rate on ambiguous items (should be high) vs. clear items (should be low)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Cross-language consistency (same case → same verdict in EN/FR/AR)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Cross-style consistency (same case → same verdict across 5 styles)</w:t>
      </w:r>
    </w:p>
    <w:p>
      <w:pPr>
        <w:pStyle w:val="BodyText"/>
        <w:bidi w:val="0"/>
        <w:jc w:val="start"/>
        <w:rPr/>
      </w:pPr>
      <w:r>
        <w:rPr>
          <w:b/>
        </w:rPr>
        <w:t>Judging:</w:t>
      </w:r>
      <w:r>
        <w:rPr/>
        <w:t xml:space="preserve"> GPT-4-class LLM-as-judge with a strict rubric, </w:t>
      </w:r>
      <w:r>
        <w:rPr>
          <w:b/>
        </w:rPr>
        <w:t>calibrated against ~100 human-labeled model responses</w:t>
      </w:r>
      <w:r>
        <w:rPr/>
        <w:t>; agreement (e.g., Cohen's kappa) reported in the paper. If agreement is poor, fall back to human evaluation of a stratified ~300-item sample.</w:t>
      </w:r>
    </w:p>
    <w:p>
      <w:pPr>
        <w:pStyle w:val="BodyText"/>
        <w:bidi w:val="0"/>
        <w:jc w:val="start"/>
        <w:rPr/>
      </w:pPr>
      <w:r>
        <w:rPr>
          <w:b/>
        </w:rPr>
        <w:t>Error analysis (heart of the paper):</w:t>
      </w:r>
      <w:r>
        <w:rPr/>
        <w:t xml:space="preserve"> failures categorized as severity misjudgment · condition confusion · missed fertility/pregnancy risk · unsafe advice · failure to clarify — broken down by language × style × model.</w:t>
      </w:r>
    </w:p>
    <w:p>
      <w:pPr>
        <w:pStyle w:val="Heading2"/>
        <w:bidi w:val="0"/>
        <w:ind w:hanging="0" w:start="0"/>
        <w:jc w:val="start"/>
        <w:rPr/>
      </w:pPr>
      <w:r>
        <w:rPr/>
        <w:t>5. Roles and per-person parallel plan</w:t>
      </w:r>
    </w:p>
    <w:p>
      <w:pPr>
        <w:pStyle w:val="BodyText"/>
        <w:bidi w:val="0"/>
        <w:jc w:val="start"/>
        <w:rPr/>
      </w:pPr>
      <w:r>
        <w:rPr/>
        <w:t>Roles (swap by mutual agreement before Day 2 if someone's skills fit better — but lock by Day 2):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Person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Owns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Mazen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Modeling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Cluster env, inference pipeline, LoRA fine-tune, model runs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Hassan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Dataset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cases, gold labels, style variants, FT-corpus filtering, leakage log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Hana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Language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FR/AR translation, reviewer coordination, validation rubric + documentation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Mariam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Evaluation &amp; paper assembly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Judge prompts, calibration, metrics, error analysis, Overleaf skeleton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Everyone drafts their own paper sections daily in Overleaf; Mariam assembles and keeps the draft coherent.</w:t>
      </w:r>
    </w:p>
    <w:p>
      <w:pPr>
        <w:pStyle w:val="Heading3"/>
        <w:bidi w:val="0"/>
        <w:ind w:hanging="0" w:start="0"/>
        <w:jc w:val="start"/>
        <w:rPr/>
      </w:pPr>
      <w:r>
        <w:rPr/>
        <w:t>Day-by-day (four parallel tracks)</w:t>
      </w:r>
    </w:p>
    <w:p>
      <w:pPr>
        <w:pStyle w:val="BodyText"/>
        <w:bidi w:val="0"/>
        <w:jc w:val="start"/>
        <w:rPr/>
      </w:pPr>
      <w:r>
        <w:rPr>
          <w:b/>
        </w:rPr>
        <w:t>Day 1 — Mon Jul 6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Mazen: cluster env up; Qwen3.5-9B inference smoke test + 10-step LoRA smoke test. </w:t>
      </w:r>
      <w:r>
        <w:rPr>
          <w:b/>
        </w:rPr>
        <w:t>Go/no-go on Qwen3.5 by end of day.</w:t>
      </w:r>
      <w:r>
        <w:rPr/>
        <w:t xml:space="preserve"> Repo skeleton on GitHub.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Hassan: download MENST + ChatDoctor corpora; keyword-filter for PCOS/infertility; start selecting seed cases from NHS/CDC/NIH.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Hana: draft the FR/AR validation rubric; confirm reviewer availability and schedule their review window (target: receive items Day 4, return Day 6).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Mariam: Overleaf skeleton (ACL template), Intro bullet draft, begin Related Work (MENST/MenstLLaMA, MedDialog, women's-health LLM benchmarks, LLM-as-judge calibration).</w:t>
      </w:r>
    </w:p>
    <w:p>
      <w:pPr>
        <w:pStyle w:val="BodyText"/>
        <w:bidi w:val="0"/>
        <w:jc w:val="start"/>
        <w:rPr/>
      </w:pPr>
      <w:r>
        <w:rPr>
          <w:b/>
        </w:rPr>
        <w:t>Day 2 — Tue Jul 7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Mazen: batch-inference pipeline (prompt template, thinking off, output parsing to JSON).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Hassan: finish 130 seed cases with gold labels + source URLs; start GPT-assisted style-variant generation.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Hana: translation pipeline ready (GPT/NLLB); test on 20 items; refine prompts for dialect/register choices in Arabic.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Mariam: judge rubric v1; Related Work continued; Methods section skeleton.</w:t>
      </w:r>
    </w:p>
    <w:p>
      <w:pPr>
        <w:pStyle w:val="BodyText"/>
        <w:bidi w:val="0"/>
        <w:jc w:val="start"/>
        <w:rPr/>
      </w:pPr>
      <w:r>
        <w:rPr>
          <w:b/>
        </w:rPr>
        <w:t>Day 3 — Wed Jul 8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Hassan: complete + manually review all ~650 English variants (Hana and Mariam each review a third to parallelize); freeze English benchmark. Finish FT corpus (2B) with leakage log.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Hana: begin FR/AR machine translation of the benchmark.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Mazen: prepare LoRA training config; translate/format FT corpus into training format (with Hana's pipeline).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Mariam: judge prompt finalized; select the 100-item human-calibration sample design.</w:t>
      </w:r>
    </w:p>
    <w:p>
      <w:pPr>
        <w:pStyle w:val="BodyText"/>
        <w:bidi w:val="0"/>
        <w:jc w:val="start"/>
        <w:rPr/>
      </w:pPr>
      <w:r>
        <w:rPr>
          <w:b/>
        </w:rPr>
        <w:t>Day 4 — Thu Jul 9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Hana: FR/AR translations complete → handed to reviewers with rubric.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Mazen: </w:t>
      </w:r>
      <w:r>
        <w:rPr>
          <w:b/>
        </w:rPr>
        <w:t>launch LoRA fine-tune</w:t>
      </w:r>
      <w:r>
        <w:rPr/>
        <w:t>; run M1/M2 zero-shot on English items as smoke test.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Hassan: dataset card + statistics tables for the paper; datasheet documentation.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Mariam: run judge on English smoke-test outputs; team labels the 100 calibration items (all four contribute 25 each).</w:t>
      </w:r>
    </w:p>
    <w:p>
      <w:pPr>
        <w:pStyle w:val="BodyText"/>
        <w:bidi w:val="0"/>
        <w:jc w:val="start"/>
        <w:rPr/>
      </w:pPr>
      <w:r>
        <w:rPr>
          <w:b/>
        </w:rPr>
        <w:t>Day 5 — Fri Jul 10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Mazen: fine-tune done; sanity-check M3 outputs.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Mariam: compute judge–human agreement; adjust rubric if needed (fallback decision made today).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Hassan: Methods §Dataset written; Hana: Methods §Translation &amp; validation written.</w:t>
      </w:r>
    </w:p>
    <w:p>
      <w:pPr>
        <w:pStyle w:val="BodyText"/>
        <w:bidi w:val="0"/>
        <w:jc w:val="start"/>
        <w:rPr/>
      </w:pPr>
      <w:r>
        <w:rPr>
          <w:b/>
        </w:rPr>
        <w:t>Day 6 — Sat Jul 11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Hana: reviewer validations returned → apply fixes → </w:t>
      </w:r>
      <w:r>
        <w:rPr>
          <w:b/>
        </w:rPr>
        <w:t>freeze benchmark v1.0</w:t>
      </w:r>
      <w:r>
        <w:rPr/>
        <w:t xml:space="preserve"> (any unvalidated remainder labeled silver).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Mazen: run M1, M2, M3 × full benchmark (~1,950 items × 3 models).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Mariam: metrics pipeline ready; Hassan assists with error-category annotation guidelines.</w:t>
      </w:r>
    </w:p>
    <w:p>
      <w:pPr>
        <w:pStyle w:val="BodyText"/>
        <w:bidi w:val="0"/>
        <w:jc w:val="start"/>
        <w:rPr/>
      </w:pPr>
      <w:r>
        <w:rPr>
          <w:b/>
        </w:rPr>
        <w:t>Day 7 — Sun Jul 12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Mariam + Hassan: compute all metrics; error analysis (each annotates half of the flagged failures); produce tables + figures.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Mazen: any reruns / RAG stretch goal </w:t>
      </w:r>
      <w:r>
        <w:rPr>
          <w:b/>
        </w:rPr>
        <w:t>only if everything above is green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Hana: Limitations + Ethics sections (translation caveats, no real patient data, not medical advice).</w:t>
      </w:r>
    </w:p>
    <w:p>
      <w:pPr>
        <w:pStyle w:val="BodyText"/>
        <w:bidi w:val="0"/>
        <w:jc w:val="start"/>
        <w:rPr/>
      </w:pPr>
      <w:r>
        <w:rPr>
          <w:b/>
        </w:rPr>
        <w:t>Day 8 — Mon Jul 13 → Tue Jul 14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All: full draft complete by Mon evening → internal cross-review Tue morning → supervisor review Tue → revisions Tue night.</w:t>
      </w:r>
    </w:p>
    <w:p>
      <w:pPr>
        <w:pStyle w:val="BodyText"/>
        <w:bidi w:val="0"/>
        <w:jc w:val="start"/>
        <w:rPr/>
      </w:pPr>
      <w:r>
        <w:rPr>
          <w:b/>
        </w:rPr>
        <w:t>Day 9 — Wed Jul 15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Mariam: ACL format + anonymization check (no names, no repo links that deanonymize).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Submit on OpenReview </w:t>
      </w:r>
      <w:r>
        <w:rPr>
          <w:b/>
        </w:rPr>
        <w:t>hours before the deadline, not minutes</w:t>
      </w:r>
      <w:r>
        <w:rPr/>
        <w:t>. Everyone verifies the submitted PDF.</w:t>
      </w:r>
    </w:p>
    <w:p>
      <w:pPr>
        <w:pStyle w:val="BodyText"/>
        <w:bidi w:val="0"/>
        <w:jc w:val="start"/>
        <w:rPr/>
      </w:pPr>
      <w:r>
        <w:rPr>
          <w:b/>
        </w:rPr>
        <w:t>Daily sync:</w:t>
      </w:r>
      <w:r>
        <w:rPr/>
        <w:t xml:space="preserve"> one 15-minute check-in at a fixed time; blockers raised immediately in the group chat, not saved for the sync.</w:t>
      </w:r>
    </w:p>
    <w:p>
      <w:pPr>
        <w:pStyle w:val="Heading2"/>
        <w:bidi w:val="0"/>
        <w:ind w:hanging="0" w:start="0"/>
        <w:jc w:val="start"/>
        <w:rPr/>
      </w:pPr>
      <w:r>
        <w:rPr/>
        <w:t>6. Pre-agreed cut lines (no panic decisions)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Reviewer validation late → report validated subset as gold, remainder as silver; state it plainly.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Fine-tune fails or underperforms → </w:t>
      </w:r>
      <w:r>
        <w:rPr>
          <w:b/>
        </w:rPr>
        <w:t>report the result anyway</w:t>
      </w:r>
      <w:r>
        <w:rPr/>
        <w:t>; "fine-tuning did not reduce misunderstanding" is a valid finding.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Judge–human agreement poor → human evaluation of a stratified ~300-item sample.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Anything else slips → drop styles in this order: emotional → indirect (keep clinical, layperson, ambiguous) </w:t>
      </w:r>
      <w:r>
        <w:rPr>
          <w:b/>
        </w:rPr>
        <w:t>before</w:t>
      </w:r>
      <w:r>
        <w:rPr/>
        <w:t xml:space="preserve"> dropping any language.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RAG is the first thing cut, always.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Risks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Risk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Qwen3.5-9B environment issues (new hybrid architecture)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Day-1 smoke tests; hard fallback to Qwen2.5-7B-Instruct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Reviewers slower than promised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Day-4 handoff + Day-6 return agreed up front; cut line #1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GPT-generated variants drift from gold labels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Human review of every English item; variant must preserve the seed's clinical meaning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Benchmark/FT-corpus leakage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Explicit leakage log owned by Hassan; checked before fine-tune launch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LLM-judge unreliability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Calibration against 100 human labels, kappa reported; cut line #3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Deadline confusion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July 15 confirmed by team; submit Day 9 morning, not evening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