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FemSympQA Dataset Pipeline — Design</w:t>
      </w:r>
    </w:p>
    <w:p>
      <w:pPr>
        <w:pStyle w:val="BodyText"/>
        <w:bidi w:val="0"/>
        <w:jc w:val="start"/>
        <w:rPr/>
      </w:pPr>
      <w:r>
        <w:rPr>
          <w:b/>
        </w:rPr>
        <w:t>Date:</w:t>
      </w:r>
      <w:r>
        <w:rPr/>
        <w:t xml:space="preserve"> 2026-07-05 </w:t>
      </w:r>
      <w:r>
        <w:rPr>
          <w:b/>
        </w:rPr>
        <w:t>Project:</w:t>
      </w:r>
      <w:r>
        <w:rPr/>
        <w:t xml:space="preserve"> HerHealthGPT (Queen's University Master's grad project, supervisor Dr. Rahatara Ferdousi) </w:t>
      </w:r>
      <w:r>
        <w:rPr>
          <w:b/>
        </w:rPr>
        <w:t>Sub-project:</w:t>
      </w:r>
      <w:r>
        <w:rPr/>
        <w:t xml:space="preserve"> 1 of 4 (dataset pipeline → RAG prototype → risk classifier → evaluation harness) </w:t>
      </w:r>
      <w:r>
        <w:rPr>
          <w:b/>
        </w:rPr>
        <w:t>Status:</w:t>
      </w:r>
      <w:r>
        <w:rPr/>
        <w:t xml:space="preserve"> Approved by Mazen 2026-07-05</w:t>
      </w:r>
    </w:p>
    <w:p>
      <w:pPr>
        <w:pStyle w:val="Heading2"/>
        <w:bidi w:val="0"/>
        <w:ind w:hanging="0" w:start="0"/>
        <w:jc w:val="start"/>
        <w:rPr/>
      </w:pPr>
      <w:r>
        <w:rPr/>
        <w:t>Goal</w:t>
      </w:r>
    </w:p>
    <w:p>
      <w:pPr>
        <w:pStyle w:val="BodyText"/>
        <w:bidi w:val="0"/>
        <w:jc w:val="start"/>
        <w:rPr/>
      </w:pPr>
      <w:r>
        <w:rPr/>
        <w:t xml:space="preserve">Build a reproducible pipeline that turns five clinical web pages into </w:t>
      </w:r>
      <w:r>
        <w:rPr>
          <w:b/>
        </w:rPr>
        <w:t>FemSympQA</w:t>
      </w:r>
      <w:r>
        <w:rPr/>
        <w:t>: a multilingual (English, French, Arabic) dataset mapping patient-style symptom queries to conditions, risk levels, and recommended actions. This dataset is the foundation the later RAG prototype, risk classifier, and evaluation harness all consume.</w:t>
      </w:r>
    </w:p>
    <w:p>
      <w:pPr>
        <w:pStyle w:val="Heading2"/>
        <w:bidi w:val="0"/>
        <w:ind w:hanging="0" w:start="0"/>
        <w:jc w:val="start"/>
        <w:rPr/>
      </w:pPr>
      <w:r>
        <w:rPr/>
        <w:t>Sources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Condition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PCOS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https://www.nhs.uk/conditions/polycystic-ovary-syndrome-pcos/symptoms/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PCOS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https://www.cdc.gov/diabetes/basics/pcos.html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Heavy periods (menorrhagia)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https://www.nhs.uk/conditions/heavy-periods/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Infertility (female)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https://www.nhs.uk/conditions/infertility/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Endometriosis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https://www.nichd.nih.gov/health/topics/endometri/conditioninfo</w:t>
              </w:r>
            </w:hyperlink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Key decisions (with rationale)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3-tier risk taxonomy derived from source urgency language.</w:t>
      </w:r>
      <w:r>
        <w:rPr/>
        <w:t xml:space="preserve"> Every label traces to the sources' own wording, which is defensible in the thesis: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low</w:t>
      </w:r>
      <w:r>
        <w:rPr/>
        <w:t xml:space="preserve"> — self-care advice, "common and usually nothing to worry about"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moderate</w:t>
      </w:r>
      <w:r>
        <w:rPr/>
        <w:t xml:space="preserve"> — "see a GP", non-urgent medical review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high</w:t>
      </w:r>
      <w:r>
        <w:rPr/>
        <w:t xml:space="preserve"> — "urgent GP appointment", "call 999 / go to A&amp;E", red-flag symptoms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Hybrid generation tooling.</w:t>
      </w:r>
      <w:r>
        <w:rPr/>
        <w:t xml:space="preserve"> NLLB-200 (</w:t>
      </w:r>
      <w:r>
        <w:rPr>
          <w:rFonts w:ascii="Liberation Mono" w:hAnsi="Liberation Mono"/>
        </w:rPr>
        <w:t>facebook/nllb-200-distilled-600M</w:t>
      </w:r>
      <w:r>
        <w:rPr/>
        <w:t xml:space="preserve">) for EN→FR/AR translation, exactly as named in the project brief (free, reproducible, good FR/AR quality). An LLM API (Anthropic, model pinned to </w:t>
      </w:r>
      <w:r>
        <w:rPr>
          <w:rFonts w:ascii="Liberation Mono" w:hAnsi="Liberation Mono"/>
        </w:rPr>
        <w:t>claude-opus-4-8</w:t>
      </w:r>
      <w:r>
        <w:rPr/>
        <w:t>) for paraphrasing, where the brief's T5/PEGASUS would produce stiff, low-diversity text — patient-style vocabulary is objective #2 of the project, so quality matters most here. Framed in the thesis as LLM-assisted data augmentation with logged prompts.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 Python repo with staged scripts</w:t>
      </w:r>
      <w:r>
        <w:rPr/>
        <w:t xml:space="preserve"> (not Colab notebooks, not one monolithic build command). Each stage is independently re-runnable; intermediate artifacts are committed; no GPU is needed anywhere (NLLB-600M runs on CPU as a batch job).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Human review gate on extraction.</w:t>
      </w:r>
      <w:r>
        <w:rPr/>
        <w:t xml:space="preserve"> LLM-extracted base entries are a draft until Mazen reviews and freezes them — gives the thesis a "human-verified against clinical sources" claim at the cost of about an hour of review.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Scale target: ~3,000–4,500 final records</w:t>
      </w:r>
      <w:r>
        <w:rPr/>
        <w:t xml:space="preserve"> via 15–20 paraphrases per base entry plus compound-symptom queries, across 3 languages.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Data model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Base entries — </w:t>
      </w:r>
      <w:r>
        <w:rPr>
          <w:rFonts w:ascii="Liberation Mono" w:hAnsi="Liberation Mono"/>
        </w:rPr>
        <w:t>data/base/base_entries.json</w:t>
      </w:r>
    </w:p>
    <w:p>
      <w:pPr>
        <w:pStyle w:val="BodyText"/>
        <w:bidi w:val="0"/>
        <w:jc w:val="start"/>
        <w:rPr/>
      </w:pPr>
      <w:r>
        <w:rPr/>
        <w:t>One per distinct symptom–condition pair (est. 40–60 single-symptom entries, plus ~20–30 compound-symptom entries combining 2–3 co-occurring symptoms of the same condition). Fields: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base_id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Stable ID, e.g. </w:t>
            </w:r>
            <w:r>
              <w:rPr>
                <w:rFonts w:ascii="Liberation Mono" w:hAnsi="Liberation Mono"/>
              </w:rPr>
              <w:t>pcos-s03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condition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of: PCOS, heavy periods, infertility (female), endometriosis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symptom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Clinical symptom name(s)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canonical_query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Canonical English patient-style query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risk_level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low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moderate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high</w:t>
            </w:r>
            <w:r>
              <w:rPr/>
              <w:t xml:space="preserve"> per the mapping rule above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recommended_action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Action derived from source text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evidence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List of </w:t>
            </w:r>
            <w:r>
              <w:rPr>
                <w:rFonts w:ascii="Liberation Mono" w:hAnsi="Liberation Mono"/>
              </w:rPr>
              <w:t>{source_url, quote}</w:t>
            </w:r>
            <w:r>
              <w:rPr/>
              <w:t xml:space="preserve"> — the exact urgency/symptom passages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conflict_note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Present when sources disagreed on urgency (higher tier wins)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Final records — </w:t>
      </w:r>
      <w:r>
        <w:rPr>
          <w:rFonts w:ascii="Liberation Mono" w:hAnsi="Liberation Mono"/>
        </w:rPr>
        <w:t>data/final/femsympqa.jsonl</w:t>
      </w:r>
    </w:p>
    <w:p>
      <w:pPr>
        <w:pStyle w:val="BodyText"/>
        <w:bidi w:val="0"/>
        <w:jc w:val="start"/>
        <w:rPr/>
      </w:pPr>
      <w:r>
        <w:rPr/>
        <w:t>One JSON object per line, one per query variant. Per base entry: 1 canonical + 15–20 paraphrases = 16–21 English variants, each translated to FR and AR → ~48–63 records per base entry. Across 60–90 base entries this yields the ~3,000–4,500 target.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e.g. </w:t>
            </w:r>
            <w:r>
              <w:rPr>
                <w:rFonts w:ascii="Liberation Mono" w:hAnsi="Liberation Mono"/>
              </w:rPr>
              <w:t>femsympqa-0421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base_id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 back to the base entry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parent_id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For translations: the </w:t>
            </w:r>
            <w:r>
              <w:rPr>
                <w:rFonts w:ascii="Liberation Mono" w:hAnsi="Liberation Mono"/>
              </w:rPr>
              <w:t>id</w:t>
            </w:r>
            <w:r>
              <w:rPr/>
              <w:t xml:space="preserve"> of the English variant it was translated from; </w:t>
            </w:r>
            <w:r>
              <w:rPr>
                <w:rFonts w:ascii="Liberation Mono" w:hAnsi="Liberation Mono"/>
              </w:rPr>
              <w:t>null</w:t>
            </w:r>
            <w:r>
              <w:rPr/>
              <w:t xml:space="preserve"> for English records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lang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fr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variant_type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canonical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paraphrase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translation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query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patient-style query text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condition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risk_level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recommended_action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Inherited labels from base entry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evidence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Inherited from base entry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provenance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{generated_by, generated_at, prompt_id}</w:t>
            </w:r>
            <w:r>
              <w:rPr/>
              <w:t xml:space="preserve"> — model + prompt version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Secondary artifact</w:t>
      </w:r>
    </w:p>
    <w:p>
      <w:pPr>
        <w:pStyle w:val="BodyText"/>
        <w:bidi w:val="0"/>
        <w:jc w:val="start"/>
        <w:rPr/>
      </w:pPr>
      <w:r>
        <w:rPr/>
        <w:t xml:space="preserve">The extraction stage also emits condition-level </w:t>
      </w:r>
      <w:r>
        <w:rPr>
          <w:b/>
        </w:rPr>
        <w:t>evidence passages</w:t>
      </w:r>
      <w:r>
        <w:rPr/>
        <w:t> (</w:t>
      </w:r>
      <w:r>
        <w:rPr>
          <w:rFonts w:ascii="Liberation Mono" w:hAnsi="Liberation Mono"/>
        </w:rPr>
        <w:t>data/base/evidence_passages.json</w:t>
      </w:r>
      <w:r>
        <w:rPr/>
        <w:t>) — the retrieval corpus the future RAG sub-project will index. No extra work; it falls out of extraction.</w:t>
      </w:r>
    </w:p>
    <w:p>
      <w:pPr>
        <w:pStyle w:val="Heading2"/>
        <w:bidi w:val="0"/>
        <w:ind w:hanging="0" w:start="0"/>
        <w:jc w:val="start"/>
        <w:rPr/>
      </w:pPr>
      <w:r>
        <w:rPr/>
        <w:t>Pipeline stages</w:t>
      </w:r>
    </w:p>
    <w:p>
      <w:pPr>
        <w:pStyle w:val="BodyText"/>
        <w:bidi w:val="0"/>
        <w:jc w:val="start"/>
        <w:rPr/>
      </w:pPr>
      <w:r>
        <w:rPr/>
        <w:t>Five standalone scripts; each reads the previous stage's output file. All stages are idempotent (skip already-processed IDs) so re-runs never re-pay for completed API work.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Script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→ Output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 Scrape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01_scrape.py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URLs → </w:t>
            </w:r>
            <w:r>
              <w:rPr>
                <w:rFonts w:ascii="Liberation Mono" w:hAnsi="Liberation Mono"/>
              </w:rPr>
              <w:t>data/raw/*.html</w:t>
            </w:r>
            <w:r>
              <w:rPr/>
              <w:t xml:space="preserve"> snapshots with fetch dates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requests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 Extract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02_extract.py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snapshots → </w:t>
            </w:r>
            <w:r>
              <w:rPr>
                <w:rFonts w:ascii="Liberation Mono" w:hAnsi="Liberation Mono"/>
              </w:rPr>
              <w:t>base_entries_draft.json</w:t>
            </w:r>
            <w:r>
              <w:rPr/>
              <w:t xml:space="preserve">; </w:t>
            </w:r>
            <w:r>
              <w:rPr>
                <w:b/>
              </w:rPr>
              <w:t>human review</w:t>
            </w:r>
            <w:r>
              <w:rPr/>
              <w:t xml:space="preserve"> freezes </w:t>
            </w:r>
            <w:r>
              <w:rPr>
                <w:rFonts w:ascii="Liberation Mono" w:hAnsi="Liberation Mono"/>
              </w:rPr>
              <w:t>base_entries.json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BeautifulSoup + Claude API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 Paraphrase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03_paraphrase.py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base entries → </w:t>
            </w:r>
            <w:r>
              <w:rPr>
                <w:rFonts w:ascii="Liberation Mono" w:hAnsi="Liberation Mono"/>
              </w:rPr>
              <w:t>data/expanded/paraphrases_en.jsonl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Claude </w:t>
            </w:r>
            <w:r>
              <w:rPr>
                <w:b/>
              </w:rPr>
              <w:t>Batch API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claude-opus-4-8</w:t>
            </w:r>
            <w:r>
              <w:rPr/>
              <w:t xml:space="preserve"> pinned, prompts versioned in </w:t>
            </w:r>
            <w:r>
              <w:rPr>
                <w:rFonts w:ascii="Liberation Mono" w:hAnsi="Liberation Mono"/>
              </w:rPr>
              <w:t>prompts/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 Translate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04_translate.py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EN variants → </w:t>
            </w:r>
            <w:r>
              <w:rPr>
                <w:rFonts w:ascii="Liberation Mono" w:hAnsi="Liberation Mono"/>
              </w:rPr>
              <w:t>data/expanded/translations.jsonl</w:t>
            </w:r>
            <w:r>
              <w:rPr/>
              <w:t xml:space="preserve"> (FR + AR)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NLLB-200-distilled-600M, CPU, sentence-split, deterministic beam search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 Assemble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05_assemble.py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everything → </w:t>
            </w:r>
            <w:r>
              <w:rPr>
                <w:rFonts w:ascii="Liberation Mono" w:hAnsi="Liberation Mono"/>
              </w:rPr>
              <w:t>data/final/femsympqa.jsonl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stats.md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pydantic validation, embedding dedupe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Paraphrase prompts explicitly vary register (worried / casual / brief / detailed / colloquial) to get diversity, not near-copies. Estimated total API cost: </w:t>
      </w:r>
      <w:r>
        <w:rPr>
          <w:b/>
        </w:rPr>
        <w:t>under $15</w:t>
      </w:r>
      <w:r>
        <w:rPr/>
        <w:t> (Batch API is 50% off standard pricing; the workload is a few thousand short generations).</w:t>
      </w:r>
    </w:p>
    <w:p>
      <w:pPr>
        <w:pStyle w:val="Heading2"/>
        <w:bidi w:val="0"/>
        <w:ind w:hanging="0" w:start="0"/>
        <w:jc w:val="start"/>
        <w:rPr/>
      </w:pPr>
      <w:r>
        <w:rPr/>
        <w:t>Quality control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Cross-source validation:</w:t>
      </w:r>
      <w:r>
        <w:rPr/>
        <w:t xml:space="preserve"> entries appearing in multiple sources list all of them; urgency disagreements take the more conservative tier and are recorded in </w:t>
      </w:r>
      <w:r>
        <w:rPr>
          <w:rFonts w:ascii="Liberation Mono" w:hAnsi="Liberation Mono"/>
        </w:rPr>
        <w:t>conflict_note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Paraphrase QC:</w:t>
      </w:r>
      <w:r>
        <w:rPr/>
        <w:t xml:space="preserve"> each paraphrase embedded (Sentence-BERT) and compared to its canonical query — too similar → dropped as duplicate; too dissimilar → flagged as meaning drift to </w:t>
      </w:r>
      <w:r>
        <w:rPr>
          <w:rFonts w:ascii="Liberation Mono" w:hAnsi="Liberation Mono"/>
        </w:rPr>
        <w:t>data/errors/</w:t>
      </w:r>
      <w:r>
        <w:rPr/>
        <w:t>. Yields a reportable semantic-fidelity figure.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Translation QC:</w:t>
      </w:r>
      <w:r>
        <w:rPr/>
        <w:t xml:space="preserve"> (1) automatic back-translation on a ~10% sample with similarity flagging; (2) manual review of ~50 records per language by Mazen.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Label integrity:</w:t>
      </w:r>
      <w:r>
        <w:rPr/>
        <w:t xml:space="preserve"> every final record must trace to a frozen, human-reviewed base entry; assembly fails otherwise.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Error handling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stage validates its input file against pydantic schemas at load — malformed upstream data fails loudly at start, not silently mid-run.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Anthropic SDK auto-retries transient API errors; Batch API results are written raw to disk before any processing, so a crash never loses paid output.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Failed or flagged items land in </w:t>
      </w:r>
      <w:r>
        <w:rPr>
          <w:rFonts w:ascii="Liberation Mono" w:hAnsi="Liberation Mono"/>
        </w:rPr>
        <w:t>data/errors/</w:t>
      </w:r>
      <w:r>
        <w:rPr/>
        <w:t xml:space="preserve"> with reasons, re-runnable in isolation.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Testing</w:t>
      </w:r>
    </w:p>
    <w:p>
      <w:pPr>
        <w:pStyle w:val="BodyText"/>
        <w:bidi w:val="0"/>
        <w:jc w:val="start"/>
        <w:rPr/>
      </w:pPr>
      <w:r>
        <w:rPr/>
        <w:t>pytest, no network required: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HTML parsers tested against checked-in snapshot fixtures.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Risk-mapping rule tested against a table of urgency phrases.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Schema validation, dedupe logic, and assembly tested on small synthetic cases, including a golden-file test for the final assembly step.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Repository layout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HerHealthGPT/</w:t>
        <w:br/>
        <w:t>├── HerHealthGPT-RF3.pdf         # project brief</w:t>
        <w:br/>
        <w:t>├── README.md                    # setup + pipeline run order</w:t>
        <w:br/>
        <w:t>├── pyproject.toml               # requests, beautifulsoup4, pydantic, anthropic,</w:t>
        <w:br/>
        <w:t>│                                #   transformers, torch (CPU), sentence-transformers,</w:t>
        <w:br/>
        <w:t>│                                #   pandas, pytest</w:t>
        <w:br/>
        <w:t>├── .env.example                 # ANTHROPIC_API_KEY placeholder (.env gitignored)</w:t>
        <w:br/>
        <w:t>├── prompts/                     # extract_v1.md, paraphrase_v1.md, ...</w:t>
        <w:br/>
        <w:t>├── src/femsympqa/               # pydantic schemas, risk mapping, shared utils</w:t>
        <w:br/>
        <w:t>├── scripts/                     # 01_scrape.py … 05_assemble.py</w:t>
        <w:br/>
        <w:t>├── data/</w:t>
        <w:br/>
        <w:t>│   ├── raw/                     # HTML snapshots (committed)</w:t>
        <w:br/>
        <w:t>│   ├── base/                    # draft + frozen base entries (committed)</w:t>
        <w:br/>
        <w:t>│   ├── expanded/                # paraphrases + translations (committed)</w:t>
        <w:br/>
        <w:t>│   ├── final/                   # femsympqa.jsonl + stats.md (committed)</w:t>
        <w:br/>
        <w:t>│   └── errors/                  # flagged/failed items</w:t>
        <w:br/>
        <w:t>├── tests/                       # pytest + fixtures</w:t>
        <w:br/>
        <w:t>└── docs/superpowers/specs/      # this document</w:t>
      </w:r>
    </w:p>
    <w:p>
      <w:pPr>
        <w:pStyle w:val="BodyText"/>
        <w:bidi w:val="0"/>
        <w:jc w:val="start"/>
        <w:rPr/>
      </w:pPr>
      <w:r>
        <w:rPr/>
        <w:t>All generated artifacts are committed so the supervisor can inspect every intermediate step without running anything or holding an API key.</w:t>
      </w:r>
    </w:p>
    <w:p>
      <w:pPr>
        <w:pStyle w:val="Heading2"/>
        <w:bidi w:val="0"/>
        <w:ind w:hanging="0" w:start="0"/>
        <w:jc w:val="start"/>
        <w:rPr/>
      </w:pPr>
      <w:r>
        <w:rPr/>
        <w:t>Environment prerequisites (one-time)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Python 3.12 on the Windows machine (currently absent — only the Microsoft Store stub exists), create a venv.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git init</w:t>
      </w:r>
      <w:r>
        <w:rPr/>
        <w:t xml:space="preserve"> + GitHub repository (required by the brief).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Anthropic API key in </w:t>
      </w:r>
      <w:r>
        <w:rPr>
          <w:rFonts w:ascii="Liberation Mono" w:hAnsi="Liberation Mono"/>
        </w:rPr>
        <w:t>.env</w:t>
      </w:r>
      <w:r>
        <w:rPr/>
        <w:t xml:space="preserve"> (console.anthropic.com).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Out of scope (later sub-projects)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HerHealthGPT RAG prototype (retrieval, agent reasoning).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risk-prediction classifier (scikit-learn/XGBoost).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evaluation harness (baselines, F1, BERTScore, ROUGE, cross-language consistency).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 patient data, clinical trials, model training (out of scope for the whole project per the brief).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Deliverables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data/final/femsympqa.jsonl</w:t>
      </w:r>
      <w:r>
        <w:rPr/>
        <w:t xml:space="preserve"> (~3,000–4,500 records)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Human-verified </w:t>
      </w:r>
      <w:r>
        <w:rPr>
          <w:rFonts w:ascii="Liberation Mono" w:hAnsi="Liberation Mono"/>
        </w:rPr>
        <w:t>data/base/base_entries.json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data/base/evidence_passages.json</w:t>
      </w:r>
      <w:r>
        <w:rPr/>
        <w:t xml:space="preserve"> (future RAG corpus)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data/final/stats.md</w:t>
      </w:r>
      <w:r>
        <w:rPr/>
        <w:t xml:space="preserve"> (counts per condition × language × risk — thesis table)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Versioned prompts under </w:t>
      </w:r>
      <w:r>
        <w:rPr>
          <w:rFonts w:ascii="Liberation Mono" w:hAnsi="Liberation Mono"/>
        </w:rPr>
        <w:t>prompts/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Tested, documented pipeline code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hs.uk/conditions/polycystic-ovary-syndrome-pcos/symptoms/" TargetMode="External"/><Relationship Id="rId3" Type="http://schemas.openxmlformats.org/officeDocument/2006/relationships/hyperlink" Target="https://www.cdc.gov/diabetes/basics/pcos.html" TargetMode="External"/><Relationship Id="rId4" Type="http://schemas.openxmlformats.org/officeDocument/2006/relationships/hyperlink" Target="https://www.nhs.uk/conditions/heavy-periods/" TargetMode="External"/><Relationship Id="rId5" Type="http://schemas.openxmlformats.org/officeDocument/2006/relationships/hyperlink" Target="https://www.nhs.uk/conditions/infertility/" TargetMode="External"/><Relationship Id="rId6" Type="http://schemas.openxmlformats.org/officeDocument/2006/relationships/hyperlink" Target="https://www.nichd.nih.gov/health/topics/endometri/conditioninfo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