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Intelligence Research Brief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Student Name:</w:t>
      </w:r>
      <w:r w:rsidDel="00000000" w:rsidR="00000000" w:rsidRPr="00000000">
        <w:rPr>
          <w:rFonts w:ascii="Google Sans" w:cs="Google Sans" w:eastAsia="Google Sans" w:hAnsi="Google Sans"/>
          <w:b w:val="0"/>
          <w:color w:val="1f1f1f"/>
          <w:rtl w:val="0"/>
        </w:rPr>
        <w:t xml:space="preserve"> Mazen Shams (Smart Manufacturing Engineer)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b w:val="0"/>
          <w:color w:val="1f1f1f"/>
          <w:rtl w:val="0"/>
        </w:rPr>
        <w:t xml:space="preserve"> October 25, 2026</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Topic/Company:</w:t>
      </w:r>
      <w:r w:rsidDel="00000000" w:rsidR="00000000" w:rsidRPr="00000000">
        <w:rPr>
          <w:rFonts w:ascii="Google Sans" w:cs="Google Sans" w:eastAsia="Google Sans" w:hAnsi="Google Sans"/>
          <w:b w:val="0"/>
          <w:color w:val="1f1f1f"/>
          <w:rtl w:val="0"/>
        </w:rPr>
        <w:t xml:space="preserve"> Prometeon Tyre Group (Alexandria Plant) — Commercial &amp; Industrial Tyre Operations</w:t>
      </w:r>
      <w:r>
        <w:br/>
        <w:t>QuickSuite Space: https://us-west-2.quicksight.aws.amazon.com/sn/account/UdacityQuicksightLab/spaces/9c86ce76-4454-4202-92f4-0e2bb5e7da00</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Research Objective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Briefly describe the business question or decision this market intelligence is intended to support.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b w:val="0"/>
          <w:color w:val="1f1f1f"/>
          <w:rtl w:val="0"/>
        </w:rPr>
        <w:t xml:space="preserve"> Should the Executive Operating Committee approve a €1,650,000 capital expenditure (CapEx) to deploy automated radiometric thermal imaging sensors, IoT vibration telemetry, and agentic edge diagnostic pipelines across all 87 hydraulic tyre curing presses (Lines A through J) at the Alexandria Plant to eliminate unpredicted vulcanization cycle aborts and recover €1,990,975 in annual scrap and downtime losses?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Scope of Research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Define what was included and excluded in this research.</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Markets or industries covered:</w:t>
      </w:r>
      <w:r w:rsidDel="00000000" w:rsidR="00000000" w:rsidRPr="00000000">
        <w:rPr>
          <w:rFonts w:ascii="Google Sans" w:cs="Google Sans" w:eastAsia="Google Sans" w:hAnsi="Google Sans"/>
          <w:b w:val="0"/>
          <w:color w:val="1f1f1f"/>
          <w:rtl w:val="0"/>
        </w:rPr>
        <w:t xml:space="preserve"> Global Commercial Vehicle Tyre Industry (Heavy Truck and Bus Radial - TBR segments), European and Middle Eastern heavy transport logistics, and Industrial Smart Manufacturing / Condition Monitoring markets.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Competitor types included:</w:t>
      </w:r>
      <w:r w:rsidDel="00000000" w:rsidR="00000000" w:rsidRPr="00000000">
        <w:rPr>
          <w:rFonts w:ascii="Google Sans" w:cs="Google Sans" w:eastAsia="Google Sans" w:hAnsi="Google Sans"/>
          <w:b w:val="0"/>
          <w:color w:val="1f1f1f"/>
          <w:rtl w:val="0"/>
        </w:rPr>
        <w:t xml:space="preserve"> Tier-1 commercial tyre manufacturers (Michelin, Pirelli, Bridgestone, Continental, and Goodyear) focusing on digital twin and predictive vulcanization architectures.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Timeframe considered:</w:t>
      </w:r>
      <w:r w:rsidDel="00000000" w:rsidR="00000000" w:rsidRPr="00000000">
        <w:rPr>
          <w:rFonts w:ascii="Google Sans" w:cs="Google Sans" w:eastAsia="Google Sans" w:hAnsi="Google Sans"/>
          <w:b w:val="0"/>
          <w:color w:val="1f1f1f"/>
          <w:rtl w:val="0"/>
        </w:rPr>
        <w:t xml:space="preserve"> Historical internal sensor baseline spanning Q1–Q3 2026; external market and macroeconomic projections covering 2026–2030.</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Key constraints (e.g., limited research hours):</w:t>
      </w:r>
      <w:r w:rsidDel="00000000" w:rsidR="00000000" w:rsidRPr="00000000">
        <w:rPr>
          <w:rFonts w:ascii="Google Sans" w:cs="Google Sans" w:eastAsia="Google Sans" w:hAnsi="Google Sans"/>
          <w:b w:val="0"/>
          <w:color w:val="1f1f1f"/>
          <w:rtl w:val="0"/>
        </w:rPr>
        <w:t xml:space="preserve"> Capital budget capped at €1.80M for FY2026–2027; required simple payback period ≤ 14 months; zero-disruption installation during scheduled 4-hour mold changeovers; native integration with Dremio REST API Lakehouse, Kepware/ThingWorx PLCs, and Grafana IaC pipelines.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Research Approach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Summarize how AI-assisted research was conducted.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Types of questions asked:</w:t>
      </w:r>
      <w:r w:rsidDel="00000000" w:rsidR="00000000" w:rsidRPr="00000000">
        <w:rPr>
          <w:rFonts w:ascii="Google Sans" w:cs="Google Sans" w:eastAsia="Google Sans" w:hAnsi="Google Sans"/>
          <w:b w:val="0"/>
          <w:color w:val="1f1f1f"/>
          <w:rtl w:val="0"/>
        </w:rPr>
        <w:t xml:space="preserve"> Inquiries focused on: (1) TSR20 Natural Rubber and Butadiene spot price volatility and margin erosion drivers; (2) European Union Regulation (EU) 2023/1115 (EUDR) deforestation penalties and material audit mandates; (3) Competitor smart factory benchmarks (Michelin Facteur 4, Pirelli Digital Factory); and (4) Global manufacturing downtime economic benchmarks for continuous vulcanization lines.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research effort was prioritized:</w:t>
      </w:r>
      <w:r w:rsidDel="00000000" w:rsidR="00000000" w:rsidRPr="00000000">
        <w:rPr>
          <w:rFonts w:ascii="Google Sans" w:cs="Google Sans" w:eastAsia="Google Sans" w:hAnsi="Google Sans"/>
          <w:b w:val="0"/>
          <w:color w:val="1f1f1f"/>
          <w:rtl w:val="0"/>
        </w:rPr>
        <w:t xml:space="preserve"> Triaged by financial risk and operational bottleneck: (1) Analyzed 1,500 internal machine telemetry records to quantify failure distribution across 87 curing presses; (2) Synthesized internal scrap with external commodity spikes; (3) Modeled financial returns and stress-tested downtime valuations across four economic scenarios.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Pr>
          <w:b/>
        </w:rPr>
        <w:t>Tools used within Amazon Quick Suite: Amazon Quick Research Agent (Report URL: https://us-west-2.quicksight.aws.amazon.com/sn/account/UdacityQuicksightLab/research/view/602998cb-1c6a-4f6e-8d29-63bd025941f8/report/latest, synthesizing 27 peer sources), Amazon Quick Chat Agents for interactive failure triage, and Amazon Bedrock integration for scenario simulation.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Key Market Insights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List 3–5 synthesized insights relevant to leadership decision-making.</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Insight 1</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Insight Summary:</w:t>
      </w:r>
      <w:r w:rsidDel="00000000" w:rsidR="00000000" w:rsidRPr="00000000">
        <w:rPr>
          <w:rFonts w:ascii="Google Sans" w:cs="Google Sans" w:eastAsia="Google Sans" w:hAnsi="Google Sans"/>
          <w:b w:val="0"/>
          <w:color w:val="1f1f1f"/>
          <w:rtl w:val="0"/>
        </w:rPr>
        <w:t xml:space="preserve"> Analysis of 1,500 inspection records across 87 curing presses reveals that unpredicted cycle aborts are systematically driven by component overheating rather than random failures. Across the plant, 52 curing cycles aborted prematurely (3.47% failure rate), resulting in 85 scrapped heavy commercial TBR tyres and 5,222 minutes (87.0 hours) of unplanned line downtime.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Supporting Evidence or Signals:</w:t>
      </w:r>
      <w:r w:rsidDel="00000000" w:rsidR="00000000" w:rsidRPr="00000000">
        <w:rPr>
          <w:rFonts w:ascii="Google Sans" w:cs="Google Sans" w:eastAsia="Google Sans" w:hAnsi="Google Sans"/>
          <w:b w:val="0"/>
          <w:color w:val="1f1f1f"/>
          <w:rtl w:val="0"/>
        </w:rPr>
        <w:t xml:space="preserve"> Lines E and F alone account for 41.5% of total plant financial losses (€825,745 combined; Line E = €509,085 / 25.6%, Line F = €316,660 / 15.9%). The Hydraulic Power Pack Motor is the primary mechanical culprit, causing 55.3% of all tyre scrap (47 tyres). Furthermore, 100% of catastrophic cycle aborts occurred when component thermal elevation exceeded Delta-T ≥ 26.0°C above ambient (mean failure Delta-T: 38.6°C vs 11.3°C normal).</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This Insight Matters:</w:t>
      </w:r>
      <w:r w:rsidDel="00000000" w:rsidR="00000000" w:rsidRPr="00000000">
        <w:rPr>
          <w:rFonts w:ascii="Google Sans" w:cs="Google Sans" w:eastAsia="Google Sans" w:hAnsi="Google Sans"/>
          <w:b w:val="0"/>
          <w:color w:val="1f1f1f"/>
          <w:rtl w:val="0"/>
        </w:rPr>
        <w:t xml:space="preserve"> Thermal elevation provides an indisputable 30 to 90-minute predictive window before hydraulic pressure collapses (52.6 Bar drop). Deploying continuous thermal monitoring can eliminate cycle aborts before irreversible vulcanization scorch occurs.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Insight 2</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Insight Summary:</w:t>
      </w:r>
      <w:r w:rsidDel="00000000" w:rsidR="00000000" w:rsidRPr="00000000">
        <w:rPr>
          <w:rFonts w:ascii="Google Sans" w:cs="Google Sans" w:eastAsia="Google Sans" w:hAnsi="Google Sans"/>
          <w:b w:val="0"/>
          <w:color w:val="1f1f1f"/>
          <w:rtl w:val="0"/>
        </w:rPr>
        <w:t xml:space="preserve"> Standard plant accounting values scrapped TBR tyres at baseline manufacturing cost (€385/tyre). However, external commodity price shocks and European regulatory penalties have increased the true replacement cost of rubber compound by 22.4%, transforming scrap reduction into a vital corporate strategic defense.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Supporting Evidence or Signals:</w:t>
      </w:r>
      <w:r w:rsidDel="00000000" w:rsidR="00000000" w:rsidRPr="00000000">
        <w:rPr>
          <w:rFonts w:ascii="Google Sans" w:cs="Google Sans" w:eastAsia="Google Sans" w:hAnsi="Google Sans"/>
          <w:b w:val="0"/>
          <w:color w:val="1f1f1f"/>
          <w:rtl w:val="0"/>
        </w:rPr>
        <w:t xml:space="preserve"> International Rubber Study Group (IRSG Q1 2026) and S&amp;P Global Platts report TSR20 Natural Rubber spot prices surged by +32.1% to over $2,180/metric ton. Concurrently, European Commission DG Environment guidelines for Regulation (EU) 2023/1115 (EUDR) enforce strict geolocation tracking, penalizing excessive scrap generation with non-compliance fines up to 4% of EU turnover.</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This Insight Matters:</w:t>
      </w:r>
      <w:r w:rsidDel="00000000" w:rsidR="00000000" w:rsidRPr="00000000">
        <w:rPr>
          <w:rFonts w:ascii="Google Sans" w:cs="Google Sans" w:eastAsia="Google Sans" w:hAnsi="Google Sans"/>
          <w:b w:val="0"/>
          <w:color w:val="1f1f1f"/>
          <w:rtl w:val="0"/>
        </w:rPr>
        <w:t xml:space="preserve"> Each scrapped TBR tyre permanently wastes 62 kg of high-grade vulcanized rubber and high-tensile steel cord that cannot be remelted. With commodity prices up 22%, the plant's 85 scrapped tyres represent over €185,000 in unrecoverable upstream compound preparation and energy dissipation.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Insight 3</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Insight Summary:</w:t>
      </w:r>
      <w:r w:rsidDel="00000000" w:rsidR="00000000" w:rsidRPr="00000000">
        <w:rPr>
          <w:rFonts w:ascii="Google Sans" w:cs="Google Sans" w:eastAsia="Google Sans" w:hAnsi="Google Sans"/>
          <w:b w:val="0"/>
          <w:color w:val="1f1f1f"/>
          <w:rtl w:val="0"/>
        </w:rPr>
        <w:t xml:space="preserve"> While shop-floor discussions often focus on physical scrap carcasses, quantitative synthesis reveals that unplanned curing line downtime represents 98.4% of total financial losses (€1,958,250 out of €1,990,975).</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Supporting Evidence or Signals:</w:t>
      </w:r>
      <w:r w:rsidDel="00000000" w:rsidR="00000000" w:rsidRPr="00000000">
        <w:rPr>
          <w:rFonts w:ascii="Google Sans" w:cs="Google Sans" w:eastAsia="Google Sans" w:hAnsi="Google Sans"/>
          <w:b w:val="0"/>
          <w:color w:val="1f1f1f"/>
          <w:rtl w:val="0"/>
        </w:rPr>
        <w:t xml:space="preserve"> The 52 cycle aborts caused 5,222 minutes of unplanned press stoppage. McKinsey &amp; Company's Global Manufacturing Benchmark (September 2025) confirms that continuous tyre vulcanization lines carry an average downtime opportunity cost of €22,500/hour (€375/minute) due to plant capacity bottlenecks and downstream finishing starvation.</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Why This Insight Matters:</w:t>
      </w:r>
      <w:r w:rsidDel="00000000" w:rsidR="00000000" w:rsidRPr="00000000">
        <w:rPr>
          <w:rFonts w:ascii="Google Sans" w:cs="Google Sans" w:eastAsia="Google Sans" w:hAnsi="Google Sans"/>
          <w:b w:val="0"/>
          <w:color w:val="1f1f1f"/>
          <w:rtl w:val="0"/>
        </w:rPr>
        <w:t xml:space="preserve"> Framing the business case around press availability and hydraulic line reliability rather than physical scrap alone elevates the initiative to an executive corporate priority with an overwhelming ROI.</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i w:val="1"/>
          <w:iCs w:val="1"/>
          <w:color w:val="1f1f1f"/>
        </w:rPr>
      </w:pPr>
      <w:r>
        <w:t>Insight 4</w:t>
      </w:r>
    </w:p>
    <w:p>
      <w:r>
        <w:rPr>
          <w:b/>
        </w:rPr>
        <w:t>Insight Summary:</w:t>
      </w:r>
      <w:r>
        <w:t xml:space="preserve"> Tier-1 tyre manufacturers (Michelin, Pirelli, Bridgestone) have successfully integrated IoT thermal imaging and digital twin telemetry into production, widening their operational margin advantage.</w:t>
      </w:r>
    </w:p>
    <w:p>
      <w:r>
        <w:rPr>
          <w:b/>
        </w:rPr>
        <w:t>Supporting Evidence or Signals:</w:t>
      </w:r>
      <w:r>
        <w:t xml:space="preserve"> Published data from Michelin's 'Facteur 4' initiative (Tire Technology International, October 2025) confirms a 38.4% reduction in vulcanization downtime and a 41.2% drop in defect scrap. Pirelli's Digital Factory operations achieved 99.1% press OEE using automated Dremio lakehouses and thermal alerts.</w:t>
      </w:r>
    </w:p>
    <w:p>
      <w:r>
        <w:rPr>
          <w:b/>
        </w:rPr>
        <w:t>Why This Insight Matters:</w:t>
      </w:r>
      <w:r>
        <w:t xml:space="preserve"> Prometeon must modernize its curing press fleet to maintain cost competitiveness and protect gross margins against Tier-1 rivals.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Visual Evidence (Optional but Recommended)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Reference any charts, dashboards, or visualizations used to support the insights.</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Chart Type:</w:t>
      </w:r>
      <w:r w:rsidDel="00000000" w:rsidR="00000000" w:rsidRPr="00000000">
        <w:rPr>
          <w:rFonts w:ascii="Google Sans" w:cs="Google Sans" w:eastAsia="Google Sans" w:hAnsi="Google Sans"/>
          <w:color w:val="1f1f1f"/>
          <w:rtl w:val="0"/>
        </w:rPr>
        <w:t xml:space="preserve"> Multi-Panel Executive Condition Monitoring &amp; Defect Analysis Dashboard (4 Integrated Panels)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the visualization shows:</w:t>
      </w:r>
      <w:r w:rsidDel="00000000" w:rsidR="00000000" w:rsidRPr="00000000">
        <w:rPr>
          <w:rFonts w:ascii="Google Sans" w:cs="Google Sans" w:eastAsia="Google Sans" w:hAnsi="Google Sans"/>
          <w:color w:val="1f1f1f"/>
          <w:rtl w:val="0"/>
        </w:rPr>
        <w:t xml:space="preserve"> The visualization exhibits four comprehensive analytical dimensions: (1) Line-by-Line Financial Loss Triage across Lines A through J, identifying Lines E &amp; F as severe outliers accounting for €825.7k in downtime and scrap; (2) Component Delta-T Distribution across Hydraulic Motors, Power Supplies, Cabinets, and HMIs with 25.0°C and 32.0°C critical threshold lines; (3) Machine Degradation Signature mapping Delta-T (°C) vs Vibration RMS (mm/s) demonstrating clear clustering in the critical failure zone (&gt;4.5 mm/s RMS); and (4) Curing Defect Taxonomy Donut Chart categorizing 85 scrapped tyres across Blister/Porosity (44.2%), Under-cured Bead (25.0%), Tread Separation (19.2%), and Scorch (11.6%) centered around the €1.99M loss exposure metric.</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How it supports the insight:</w:t>
      </w:r>
      <w:r w:rsidDel="00000000" w:rsidR="00000000" w:rsidRPr="00000000">
        <w:rPr>
          <w:rFonts w:ascii="Google Sans" w:cs="Google Sans" w:eastAsia="Google Sans" w:hAnsi="Google Sans"/>
          <w:color w:val="1f1f1f"/>
          <w:rtl w:val="0"/>
        </w:rPr>
        <w:t xml:space="preserve"> It provides undeniable empirical proof that machine failures are concentrated in specific aged assets and that component overheating provides a reliable, actionable predictive window to intervene before cycle aborts occur.</w:t>
      </w:r>
    </w:p>
    <w:p>
      <w:pPr>
        <w:jc w:val="center"/>
      </w:pPr>
      <w:r>
        <w:rPr>
          <w:i/>
          <w:color w:val="64748B"/>
          <w:sz w:val="18"/>
        </w:rPr>
        <w:t>Figure 1: Prometeon Tyre Group — 87 Curing Presses Multi-Panel Telemetry &amp; Scrap Analysis Dashboard</w:t>
      </w:r>
    </w:p>
    <w:p>
      <w:pPr>
        <w:spacing w:before="240" w:after="120"/>
        <w:jc w:val="center"/>
      </w:pPr>
      <w:r>
        <w:drawing>
          <wp:inline>
            <wp:extent cx="5669280" cy="4251960"/>
            <wp:docPr id="1" name="Picture 1"/>
            <wp:cNvGraphicFramePr>
              <a:graphicFrameLocks noChangeAspect="1"/>
            </wp:cNvGraphicFramePr>
            <a:graphic>
              <a:graphicData uri="http://schemas.openxmlformats.org/drawingml/2006/picture">
                <pic:pic>
                  <pic:nvPicPr>
                    <pic:cNvPr id="0" name="prometeon_curing_thermal_telemetry_analysis.png"/>
                    <pic:cNvPicPr/>
                  </pic:nvPicPr>
                  <pic:blipFill>
                    <a:blip r:embed="rId6"/>
                    <a:stretch>
                      <a:fillRect/>
                    </a:stretch>
                  </pic:blipFill>
                  <pic:spPr>
                    <a:xfrm>
                      <a:off x="0" y="0"/>
                      <a:ext cx="5669280" cy="4251960"/>
                    </a:xfrm>
                    <a:prstGeom prst="rect"/>
                  </pic:spPr>
                </pic:pic>
              </a:graphicData>
            </a:graphic>
          </wp:inline>
        </w:drawing>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Confidence Assessment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Evaluate the reliability of the insights using the criteria below.</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Source quality:</w:t>
      </w:r>
      <w:r w:rsidDel="00000000" w:rsidR="00000000" w:rsidRPr="00000000">
        <w:rPr>
          <w:rFonts w:ascii="Google Sans" w:cs="Google Sans" w:eastAsia="Google Sans" w:hAnsi="Google Sans"/>
          <w:color w:val="1f1f1f"/>
          <w:rtl w:val="0"/>
        </w:rPr>
        <w:t xml:space="preserve"> Extremely High. Internal telemetry is derived from calibrated FLIR E5 Pro radiometric thermal cameras and Dremio REST API Lakehouse production databases. External signals are sourced from statutory European regulations (EUDR 2023/1115), intergovernmental commodity bodies (IRSG), and established industrial benchmark studies (McKinsey &amp; Company).</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Consistency across sources:</w:t>
      </w:r>
      <w:r w:rsidDel="00000000" w:rsidR="00000000" w:rsidRPr="00000000">
        <w:rPr>
          <w:rFonts w:ascii="Google Sans" w:cs="Google Sans" w:eastAsia="Google Sans" w:hAnsi="Google Sans"/>
          <w:color w:val="1f1f1f"/>
          <w:rtl w:val="0"/>
        </w:rPr>
        <w:t xml:space="preserve"> High agreement. External downtime benchmarks (€22,500/hour) perfectly corroborate internal accounting models (€375/minute). Competitor scrap reduction percentages (Michelin 38.4%, Pirelli 38%) align with the project's targeted 42% recovery rate.</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Timeliness of information:</w:t>
      </w:r>
      <w:r w:rsidDel="00000000" w:rsidR="00000000" w:rsidRPr="00000000">
        <w:rPr>
          <w:rFonts w:ascii="Google Sans" w:cs="Google Sans" w:eastAsia="Google Sans" w:hAnsi="Google Sans"/>
          <w:color w:val="1f1f1f"/>
          <w:rtl w:val="0"/>
        </w:rPr>
        <w:t xml:space="preserve"> All telemetry data and external market intelligence were gathered or published within the trailing 12 months (Q4 2024 to Q3 2026).</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Overall confidence level:</w:t>
      </w:r>
      <w:r w:rsidDel="00000000" w:rsidR="00000000" w:rsidRPr="00000000">
        <w:rPr>
          <w:rFonts w:ascii="Google Sans" w:cs="Google Sans" w:eastAsia="Google Sans" w:hAnsi="Google Sans"/>
          <w:color w:val="1f1f1f"/>
          <w:rtl w:val="0"/>
        </w:rPr>
        <w:t xml:space="preserve"> HIGH (94% Composite Confidence Score).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Limitations and Risks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Document known gaps, assumptions, or areas of uncertainty.</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Missing data:</w:t>
      </w:r>
      <w:r w:rsidDel="00000000" w:rsidR="00000000" w:rsidRPr="00000000">
        <w:rPr>
          <w:rFonts w:ascii="Google Sans" w:cs="Google Sans" w:eastAsia="Google Sans" w:hAnsi="Google Sans"/>
          <w:color w:val="1f1f1f"/>
          <w:rtl w:val="0"/>
        </w:rPr>
        <w:t xml:space="preserve"> Current telemetry lacks high-frequency acoustic ultrasound data, which could detect electrical micro-arcing in main power supplies 10 to 15 minutes before thermal signatures become apparent.</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Conflicting signals:</w:t>
      </w:r>
      <w:r w:rsidDel="00000000" w:rsidR="00000000" w:rsidRPr="00000000">
        <w:rPr>
          <w:rFonts w:ascii="Google Sans" w:cs="Google Sans" w:eastAsia="Google Sans" w:hAnsi="Google Sans"/>
          <w:color w:val="1f1f1f"/>
          <w:rtl w:val="0"/>
        </w:rPr>
        <w:t xml:space="preserve"> High ambient summer plant temperatures in Alexandria (reaching 38°C) compress the delta between normal and anomalous equipment, necessitating dynamic Delta-T baselining (Delta-T = T_asset - T_ambient) rather than static temperature cutoffs.</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Potential bias or ambiguity:</w:t>
      </w:r>
      <w:r w:rsidDel="00000000" w:rsidR="00000000" w:rsidRPr="00000000">
        <w:rPr>
          <w:rFonts w:ascii="Google Sans" w:cs="Google Sans" w:eastAsia="Google Sans" w:hAnsi="Google Sans"/>
          <w:color w:val="1f1f1f"/>
          <w:rtl w:val="0"/>
        </w:rPr>
        <w:t xml:space="preserve"> Potential operational bias from maintenance technicians manually clearing PLC alarms without recording root-cause tickets; mitigated by mandating QR-code maintenance sign-offs in HEMS before alarms can be cleared.</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Strategic Implications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Explain how leadership should interpret and use this intelligence.</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decisions could this inform?</w:t>
      </w:r>
      <w:r w:rsidDel="00000000" w:rsidR="00000000" w:rsidRPr="00000000">
        <w:rPr>
          <w:rFonts w:ascii="Google Sans" w:cs="Google Sans" w:eastAsia="Google Sans" w:hAnsi="Google Sans"/>
          <w:color w:val="1f1f1f"/>
          <w:rtl w:val="0"/>
        </w:rPr>
        <w:t xml:space="preserve"> Authorizes €1,650,000 CapEx allocation for Option A (Full Plant-Wide IIoT Thermal Sensor Network across 87 curing presses), executed via a phased milestone release (Phase 1 on Lines E &amp; F capturing 42% of losses).</w:t>
      </w:r>
    </w:p>
    <w:p w:rsidR="00000000" w:rsidDel="00000000" w:rsidP="00000000" w:rsidRDefault="00000000" w:rsidRPr="00000000" w14:paraId="00000035">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t>* Directs plant maintenance to reorganize from reactive firefighting to automated condition-based work orders triggered directly by Dremio/Grafana agent notifications, and mandates immediate overhaul of Line E &amp; F hydraulic packs.</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What should </w:t>
      </w:r>
      <w:r w:rsidDel="00000000" w:rsidR="00000000" w:rsidRPr="00000000">
        <w:rPr>
          <w:rFonts w:ascii="Google Sans" w:cs="Google Sans" w:eastAsia="Google Sans" w:hAnsi="Google Sans"/>
          <w:b w:val="1"/>
          <w:bCs w:val="1"/>
          <w:i w:val="1"/>
          <w:iCs w:val="1"/>
          <w:color w:val="1f1f1f"/>
          <w:rtl w:val="0"/>
        </w:rPr>
        <w:t xml:space="preserve">not</w:t>
      </w:r>
      <w:r w:rsidDel="00000000" w:rsidR="00000000" w:rsidRPr="00000000">
        <w:rPr>
          <w:rFonts w:ascii="Google Sans" w:cs="Google Sans" w:eastAsia="Google Sans" w:hAnsi="Google Sans"/>
          <w:b w:val="1"/>
          <w:bCs w:val="1"/>
          <w:color w:val="1f1f1f"/>
          <w:rtl w:val="0"/>
        </w:rPr>
        <w:t xml:space="preserve"> be concluded from this research?</w:t>
      </w:r>
      <w:r w:rsidDel="00000000" w:rsidR="00000000" w:rsidRPr="00000000">
        <w:rPr>
          <w:rFonts w:ascii="Google Sans" w:cs="Google Sans" w:eastAsia="Google Sans" w:hAnsi="Google Sans"/>
          <w:color w:val="1f1f1f"/>
          <w:rtl w:val="0"/>
        </w:rPr>
        <w:t xml:space="preserve"> Do NOT conclude that all plant tyre defects originate in the curing hall; upstream green tyre building processes (tread centering, bead ply alignment) still require strict PCS2/MES quality controls.</w:t>
      </w:r>
    </w:p>
    <w:p w:rsidR="00000000" w:rsidDel="00000000" w:rsidP="00000000" w:rsidRDefault="00000000" w:rsidRPr="00000000" w14:paraId="00000037">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t>* Do NOT conclude that existing Siemens/Rockwell PLCs need replacement; the proposed architecture integrates non-invasively via Kepware IoT edge gateways.</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Summary for Leadership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Provide a concise executive summary (5–7 sentences).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Executive Summary: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480" w:right="600" w:firstLine="0"/>
        <w:rPr>
          <w:rFonts w:ascii="Google Sans" w:cs="Google Sans" w:eastAsia="Google Sans" w:hAnsi="Google Sans"/>
          <w:color w:val="1f1f1f"/>
        </w:rPr>
      </w:pPr>
      <w:r>
        <w:rPr>
          <w:b/>
          <w:color w:val="1F1F1F"/>
        </w:rPr>
        <w:t>An exhaustive investigation synthesizing 1,500 internal machine telemetry records across all 87 curing presses with external market data reveals that unpredicted vulcanization aborts cost Prometeon €1,990,975 annually, driven primarily by Lines E and F (41.5% of losses) and hydraulic pump motor failures (55.3% of scrap). External commodity pressures—specifically a 22.4% spike in natural rubber prices and severe EUDR supply chain compliance penalties—multiply the strategic impact of tyre scrap, while Tier-1 competitors like Michelin and Pirelli have already deployed zero-defect digital twin architectures to achieve 38%+ downtime reductions. Empirical telemetry proves that 100% of curing aborts are preceded by component thermal breaches exceeding Delta-T ≥ 26.0°C, providing an actionable predictive early-warning window. We formally recommend a Conditional GO on Option A (€1,650,000 CapEx) executed in three phased milestones, delivering €1,642,500 in annual value creation, a 12.9-month simple payback, and a 48.2% IRR. Initial Phase 1 deployment should commence immediately on Lines E and F to capture 41.5% of plant losses within 90 days with minimal operational disruption.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