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jc w:val="center"/>
      </w:pPr>
      <w:r>
        <w:rPr>
          <w:rFonts w:ascii="Times New Roman" w:hAnsi="Times New Roman" w:eastAsia="Times New Roman"/>
          <w:b/>
          <w:sz w:val="30"/>
        </w:rPr>
        <w:t>Beyond In-Domain Accuracy: Cross-Dataset Generalization and Deployment Analysis of Object Detectors for Autonomous Driving</w:t>
      </w:r>
    </w:p>
    <w:p>
      <w:pPr>
        <w:jc w:val="both"/>
      </w:pPr>
      <w:r>
        <w:rPr>
          <w:rFonts w:ascii="Times New Roman" w:hAnsi="Times New Roman" w:eastAsia="Times New Roman"/>
          <w:b/>
        </w:rPr>
        <w:t>Abstract—</w:t>
      </w:r>
      <w:r>
        <w:rPr>
          <w:rFonts w:ascii="Times New Roman" w:hAnsi="Times New Roman" w:eastAsia="Times New Roman"/>
        </w:rPr>
        <w:t>Reliable object detection is essential for autonomous-driving perception, yet most detectors are evaluated primarily on data drawn from the same benchmark used for model development. Such in-domain evaluation may overestimate deployment reliability when geographic context, camera characteristics, scene density, object scale, and annotation policies change. This study presents a controlled cross-dataset evaluation of four representative detection paradigms: a YOLO-family real-time one-stage detector, Faster R-CNN, RetinaNet, and RT-DETR. All models are trained on harmonized KITTI data and evaluated first on a held-out KITTI validation split and then on a representative Waymo front-camera subset without retraining, fine-tuning, or target-domain adaptation. Vehicle, Pedestrian, and Cyclist categories are aligned across datasets to support consistent comparison. The evaluation combines mAP, precision, recall, F1-score, per-class AP, absolute and relative performance degradation, and a generalization ratio with safety-oriented analyses of false negatives, small and occluded objects, and vulnerable road users. Deployment suitability is assessed using batch-one latency, throughput, parameter count, computational complexity, and model size on common hardware. By unifying external validation, safety-relevant failure analysis, and efficiency measurement, the proposed framework is intended to determine whether strong in-domain accuracy translates into robust and practical intelligent-vehicle perception.</w:t>
      </w:r>
    </w:p>
    <w:p>
      <w:pPr>
        <w:pStyle w:val="Heading1"/>
        <w:jc w:val="center"/>
      </w:pPr>
      <w:r>
        <w:rPr>
          <w:rFonts w:ascii="Times New Roman" w:hAnsi="Times New Roman" w:eastAsia="Times New Roman"/>
        </w:rPr>
        <w:t>II. RELATED WORK</w:t>
      </w:r>
    </w:p>
    <w:p>
      <w:pPr>
        <w:pStyle w:val="Heading2"/>
      </w:pPr>
      <w:r>
        <w:rPr>
          <w:rFonts w:ascii="Times New Roman" w:hAnsi="Times New Roman" w:eastAsia="Times New Roman"/>
        </w:rPr>
        <w:t>A. Autonomous-Driving Datasets and Benchmark Bias</w:t>
      </w:r>
    </w:p>
    <w:p>
      <w:pPr>
        <w:spacing w:after="80"/>
      </w:pPr>
      <w:r>
        <w:rPr>
          <w:rFonts w:ascii="Times New Roman" w:hAnsi="Times New Roman" w:eastAsia="Times New Roman"/>
        </w:rPr>
        <w:t>Progress in autonomous-driving perception has been strongly shaped by public benchmarks. The KITTI Vision Benchmark Suite established one of the earliest widely adopted real-world evaluation platforms for road-scene understanding by combining synchronized cameras, LiDAR, and vehicle localization sensors [1]. Its object-detection benchmark enabled reproducible comparison of cars, pedestrians, and cyclists and remains influential in autonomous-driving research. However, KITTI is comparatively compact and reflects a limited set of geographic, traffic, camera, and environmental conditions. Consequently, strong performance on a KITTI validation split does not by itself demonstrate robustness outside the source distribution.</w:t>
      </w:r>
    </w:p>
    <w:p>
      <w:pPr>
        <w:spacing w:after="80"/>
      </w:pPr>
      <w:r>
        <w:rPr>
          <w:rFonts w:ascii="Times New Roman" w:hAnsi="Times New Roman" w:eastAsia="Times New Roman"/>
        </w:rPr>
        <w:t>Later datasets broadened the scale and diversity of driving perception. The Waymo Open Dataset provides large-scale camera and LiDAR recordings collected across multiple cities and driving environments [2]. BDD100K contributes extensive geographic, weather, illumination, and scene variation across a large collection of driving videos and multiple perception tasks [3]. nuScenes further expands benchmark diversity through a full sensor suite, 360-degree coverage, radar data, and dense multimodal annotations [4]. Together, these datasets show that autonomous-driving benchmarks differ not only in size but also in viewpoint, image characteristics, traffic density, object-size distribution, class frequency, annotation ontology, and operating environment.</w:t>
      </w:r>
    </w:p>
    <w:p>
      <w:pPr>
        <w:spacing w:after="80"/>
      </w:pPr>
      <w:r>
        <w:rPr>
          <w:rFonts w:ascii="Times New Roman" w:hAnsi="Times New Roman" w:eastAsia="Times New Roman"/>
        </w:rPr>
        <w:t>These differences create a meaningful benchmark bias problem. A detector can exploit regularities specific to its training dataset, including camera height, road layout, background appearance, and class prevalence, while appearing highly accurate under an in-domain split. Cross-dataset testing is therefore a necessary complement to conventional validation. Nevertheless, dataset papers mainly define benchmarks and evaluation tasks; they do not provide a controlled comparison in which detectors trained under the same protocol on KITTI are transferred directly to a harmonized Waymo subset. This limitation motivates the external-validation setting adopted in the present study.</w:t>
      </w:r>
    </w:p>
    <w:p>
      <w:pPr>
        <w:pStyle w:val="Heading2"/>
      </w:pPr>
      <w:r>
        <w:rPr>
          <w:rFonts w:ascii="Times New Roman" w:hAnsi="Times New Roman" w:eastAsia="Times New Roman"/>
        </w:rPr>
        <w:t>B. CNN-Based Object Detection</w:t>
      </w:r>
    </w:p>
    <w:p>
      <w:pPr>
        <w:spacing w:after="80"/>
      </w:pPr>
      <w:r>
        <w:rPr>
          <w:rFonts w:ascii="Times New Roman" w:hAnsi="Times New Roman" w:eastAsia="Times New Roman"/>
        </w:rPr>
        <w:t>Convolutional object detectors are commonly organized into two-stage and one-stage paradigms. Faster R-CNN integrated a Region Proposal Network with a region-based detector, allowing proposal generation and classification to share convolutional features [5]. This design established a strong accuracy-oriented baseline and remains relevant when localization quality is prioritized. Its proposal and per-region processing stages, however, can increase computational cost relative to compact one-stage architectures, making deployment evaluation important for real-time vehicle perception.</w:t>
      </w:r>
    </w:p>
    <w:p>
      <w:pPr>
        <w:spacing w:after="80"/>
      </w:pPr>
      <w:r>
        <w:rPr>
          <w:rFonts w:ascii="Times New Roman" w:hAnsi="Times New Roman" w:eastAsia="Times New Roman"/>
        </w:rPr>
        <w:t>RetinaNet addressed a central limitation of dense one-stage detection: the extreme imbalance between background locations and foreground objects. Focal loss reduces the contribution of easy negatives and concentrates learning on difficult examples [6]. This allowed a one-stage detector to achieve competitive accuracy while retaining a simpler dense prediction pipeline. The formulation is particularly relevant to road scenes, where the image contains large background regions and comparatively few small foreground instances. Still, the original work focused on standard in-domain benchmarks and did not evaluate how focal-loss-based detection behaves when transferred between autonomous-driving datasets.</w:t>
      </w:r>
    </w:p>
    <w:p>
      <w:pPr>
        <w:spacing w:after="80"/>
      </w:pPr>
      <w:r>
        <w:rPr>
          <w:rFonts w:ascii="Times New Roman" w:hAnsi="Times New Roman" w:eastAsia="Times New Roman"/>
        </w:rPr>
        <w:t>The YOLO family represents the real-time one-stage detection paradigm. YOLOv7, for example, introduced architectural and training refinements designed to improve accuracy without proportionally increasing inference cost [7]. Such models are attractive for autonomous vehicles because they can offer high throughput and relatively compact deployment footprints. Published comparisons among YOLO, Faster R-CNN, and RetinaNet are difficult to interpret directly, however, because studies frequently use different datasets, input resolutions, backbones, pretraining sources, hardware platforms, precision modes, and latency definitions. A controlled same-data and same-hardware evaluation is therefore required to determine whether speed-oriented CNN detectors preserve their advantages under cross-dataset shift.</w:t>
      </w:r>
    </w:p>
    <w:p>
      <w:pPr>
        <w:pStyle w:val="Heading2"/>
      </w:pPr>
      <w:r>
        <w:rPr>
          <w:rFonts w:ascii="Times New Roman" w:hAnsi="Times New Roman" w:eastAsia="Times New Roman"/>
        </w:rPr>
        <w:t>C. Transformer-Based and End-to-End Detection</w:t>
      </w:r>
    </w:p>
    <w:p>
      <w:pPr>
        <w:spacing w:after="80"/>
      </w:pPr>
      <w:r>
        <w:rPr>
          <w:rFonts w:ascii="Times New Roman" w:hAnsi="Times New Roman" w:eastAsia="Times New Roman"/>
        </w:rPr>
        <w:t>Transformer-based detectors introduced a substantially different formulation of object detection. DETR treated detection as direct set prediction and used bipartite matching to associate predicted objects with ground-truth instances [8]. By combining a convolutional backbone with a transformer encoder-decoder, DETR removed several hand-designed components, including anchor generation and non-maximum suppression. This end-to-end formulation simplified the conceptual pipeline, but the original model required long training schedules and was less effective for small objects, which are common and safety-relevant in driving scenes.</w:t>
      </w:r>
    </w:p>
    <w:p>
      <w:pPr>
        <w:spacing w:after="80"/>
      </w:pPr>
      <w:r>
        <w:rPr>
          <w:rFonts w:ascii="Times New Roman" w:hAnsi="Times New Roman" w:eastAsia="Times New Roman"/>
        </w:rPr>
        <w:t>Deformable DETR improved the efficiency of transformer attention by sampling a sparse set of relevant spatial locations across multi-scale feature maps [9]. The approach accelerated convergence and improved small-object performance, helping establish a practical path from the original DETR formulation toward more efficient transformer detectors. RT-DETR extended this direction by explicitly targeting real-time end-to-end detection through an efficient hybrid encoder and flexible speed control [10]. It therefore provides an appropriate modern transformer baseline for comparison with real-time CNN detectors.</w:t>
      </w:r>
    </w:p>
    <w:p>
      <w:pPr>
        <w:spacing w:after="80"/>
      </w:pPr>
      <w:r>
        <w:rPr>
          <w:rFonts w:ascii="Times New Roman" w:hAnsi="Times New Roman" w:eastAsia="Times New Roman"/>
        </w:rPr>
        <w:t>Despite their architectural differences, CNN and transformer detectors are commonly compared only on the benchmark on which each model was developed. It remains uncertain whether global or selective attention, end-to-end set prediction, region proposals, and dense convolutional prediction produce different robustness patterns under natural autonomous-driving domain shift. In particular, a model with the highest in-domain mAP may not necessarily show the smallest degradation on an unseen dataset. This question is addressed by evaluating RT-DETR and representative CNN families under one harmonized KITTI-to-Waymo protocol.</w:t>
      </w:r>
    </w:p>
    <w:p>
      <w:pPr>
        <w:pStyle w:val="Heading2"/>
      </w:pPr>
      <w:r>
        <w:rPr>
          <w:rFonts w:ascii="Times New Roman" w:hAnsi="Times New Roman" w:eastAsia="Times New Roman"/>
        </w:rPr>
        <w:t>D. Domain Shift and Cross-Dataset Generalization</w:t>
      </w:r>
    </w:p>
    <w:p>
      <w:pPr>
        <w:spacing w:after="80"/>
      </w:pPr>
      <w:r>
        <w:rPr>
          <w:rFonts w:ascii="Times New Roman" w:hAnsi="Times New Roman" w:eastAsia="Times New Roman"/>
        </w:rPr>
        <w:t>Domain shift arises when the distribution encountered during deployment differs from the distribution used for model development. In object detection, this shift may involve appearance, weather, illumination, camera geometry, object scale, traffic density, class balance, or annotation conventions. Domain-adaptation research attempts to reduce this mismatch by using information from the target domain. Domain Adaptive Faster R-CNN, for example, introduced image-level and instance-level adversarial alignment to improve detection on an unlabeled target domain [11]. Cross-Domain Adaptive Teacher later used teacher-student learning and target-domain pseudo-labels to improve unsupervised adaptation [15]. These methods are valuable when target images are available during training, but they answer a different question from target-free external validation.</w:t>
      </w:r>
    </w:p>
    <w:p>
      <w:pPr>
        <w:spacing w:after="80"/>
      </w:pPr>
      <w:r>
        <w:rPr>
          <w:rFonts w:ascii="Times New Roman" w:hAnsi="Times New Roman" w:eastAsia="Times New Roman"/>
        </w:rPr>
        <w:t>Direct cross-dataset studies provide evidence that benchmark-specific performance may not generalize. Hasan et al. showed that pedestrian detectors with strong within-dataset results can degrade substantially when evaluated on other pedestrian datasets [12]. This work exposes the risk of dataset-specific design choices, but its principal focus is pedestrian detection rather than a unified comparison of vehicles, pedestrians, and cyclists across multiple detector paradigms. The SHIFT dataset enables controlled investigation of continuous changes in weather, time of day, and traffic conditions [13], while weather-robust detection studies analyze real and synthetic adverse-weather transformations [14]. Such work clarifies individual sources of degradation but does not fully represent the combined geographic, camera, ontology, and scene-distribution differences between independent real-world datasets.</w:t>
      </w:r>
    </w:p>
    <w:p>
      <w:pPr>
        <w:spacing w:after="80"/>
      </w:pPr>
      <w:r>
        <w:rPr>
          <w:rFonts w:ascii="Times New Roman" w:hAnsi="Times New Roman" w:eastAsia="Times New Roman"/>
        </w:rPr>
        <w:t>The present study therefore distinguishes three evaluation settings. Domain adaptation modifies training using labeled or unlabeled target-domain information. Domain generalization typically modifies training to improve performance on unspecified unseen domains. Target-free external validation, which is used here, leaves the trained detector unchanged and measures its direct transfer to an independently constructed target dataset. This setting reveals the natural external reliability of standard detectors before adaptation is introduced and supports a fair analysis of architecture-dependent degradation.</w:t>
      </w:r>
    </w:p>
    <w:p>
      <w:pPr>
        <w:pStyle w:val="Heading2"/>
      </w:pPr>
      <w:r>
        <w:rPr>
          <w:rFonts w:ascii="Times New Roman" w:hAnsi="Times New Roman" w:eastAsia="Times New Roman"/>
        </w:rPr>
        <w:t>E. Safety-Oriented and Deployment-Aware Evaluation</w:t>
      </w:r>
    </w:p>
    <w:p>
      <w:pPr>
        <w:spacing w:after="80"/>
      </w:pPr>
      <w:r>
        <w:rPr>
          <w:rFonts w:ascii="Times New Roman" w:hAnsi="Times New Roman" w:eastAsia="Times New Roman"/>
        </w:rPr>
        <w:t>Mean average precision is indispensable but insufficient for safety-oriented autonomous-driving evaluation. Similar mAP values can arise from different error profiles, including misclassification, poor localization, duplicate detections, background false positives, and missed objects. TIDE formalized this distinction through a model-agnostic decomposition of object-detection errors [16]. Such analysis is particularly important for pedestrians and cyclists, because a moderate aggregate score can conceal a high number of safety-critical false negatives. Object size, distance, occlusion, crowding, and class frequency should therefore be examined alongside overall accuracy.</w:t>
      </w:r>
    </w:p>
    <w:p>
      <w:pPr>
        <w:spacing w:after="80"/>
      </w:pPr>
      <w:r>
        <w:rPr>
          <w:rFonts w:ascii="Times New Roman" w:hAnsi="Times New Roman" w:eastAsia="Times New Roman"/>
        </w:rPr>
        <w:t>Deployment constraints introduce an additional evaluation dimension. Real-Time Object Detection for Streaming Perception demonstrated that processing delay changes the effective quality of online predictions because a delayed result may describe an earlier scene state [17]. The ASAP benchmark similarly incorporated latency into vision-centric autonomous-driving evaluation and showed that strong offline models may behave differently under streaming conditions [18]. These findings motivate measuring detector performance on common hardware using batch-one latency, throughput, and, where possible, latency percentiles rather than reporting only theoretical speed.</w:t>
      </w:r>
    </w:p>
    <w:p>
      <w:pPr>
        <w:spacing w:after="80"/>
      </w:pPr>
      <w:r>
        <w:rPr>
          <w:rFonts w:ascii="Times New Roman" w:hAnsi="Times New Roman" w:eastAsia="Times New Roman"/>
        </w:rPr>
        <w:t>A deployment-oriented comparison should also report parameter count, computational complexity, model size, memory requirements, input resolution, precision mode, and preprocessing and post-processing costs. Prior work often examines accuracy, generalization, safety errors, or efficiency separately. For intelligent-vehicle perception, however, these dimensions interact: a highly accurate model may be impractical at the required frame rate, while a very fast detector may miss small or occluded vulnerable road users after domain shift. A unified assessment is therefore needed to identify a defensible accuracy-generalization-efficiency trade-off.</w:t>
      </w:r>
    </w:p>
    <w:p>
      <w:pPr>
        <w:pStyle w:val="Heading2"/>
      </w:pPr>
      <w:r>
        <w:rPr>
          <w:rFonts w:ascii="Times New Roman" w:hAnsi="Times New Roman" w:eastAsia="Times New Roman"/>
        </w:rPr>
        <w:t>F. Research Gap and Positioning of the Present Study</w:t>
      </w:r>
    </w:p>
    <w:p>
      <w:pPr>
        <w:spacing w:after="80"/>
      </w:pPr>
      <w:r>
        <w:rPr>
          <w:rFonts w:ascii="Times New Roman" w:hAnsi="Times New Roman" w:eastAsia="Times New Roman"/>
        </w:rPr>
        <w:t>The reviewed literature provides strong foundations in autonomous-driving datasets, CNN and transformer detection, domain adaptation, error analysis, and latency-aware evaluation. Nevertheless, these research streams remain fragmented. Dataset studies emphasize scale and diversity; detector papers prioritize in-domain architectural performance; adaptation methods use target-domain information; cross-dataset studies often focus on one class or one shift type; and deployment studies usually examine latency separately from external robustness.</w:t>
      </w:r>
    </w:p>
    <w:p>
      <w:pPr>
        <w:spacing w:after="80"/>
      </w:pPr>
      <w:r>
        <w:rPr>
          <w:rFonts w:ascii="Times New Roman" w:hAnsi="Times New Roman" w:eastAsia="Times New Roman"/>
        </w:rPr>
        <w:t>Accordingly, there is limited evidence from a controlled target-free experiment in which proposal-based, dense one-stage, real-time CNN, and real-time transformer detectors are trained on the same autonomous-driving source dataset and evaluated on a distinct real-world dataset using harmonized classes and common implementation rules. The proposed study addresses this gap by training YOLO, Faster R-CNN, RetinaNet, and RT-DETR on KITTI and externally validating them on a representative Waymo front-camera subset without retraining or adaptation. The evaluation jointly considers in-domain accuracy, absolute and relative cross-dataset degradation, class-wise generalization, false negatives, difficult-object conditions, and same-hardware efficiency. The intended contribution is therefore an evaluation methodology and evidence base for deployment-oriented autonomous-driving perception, rather than a new detection architecture.</w:t>
      </w:r>
    </w:p>
    <w:p>
      <w:pPr>
        <w:pStyle w:val="Heading1"/>
        <w:jc w:val="center"/>
      </w:pPr>
      <w:r>
        <w:rPr>
          <w:rFonts w:ascii="Times New Roman" w:hAnsi="Times New Roman" w:eastAsia="Times New Roman"/>
        </w:rPr>
        <w:t>REFERENCES</w:t>
      </w:r>
    </w:p>
    <w:p>
      <w:pPr>
        <w:spacing w:after="20" w:line="228" w:lineRule="auto"/>
        <w:ind w:left="317" w:hanging="317"/>
        <w:jc w:val="both"/>
      </w:pPr>
      <w:r>
        <w:rPr>
          <w:rFonts w:ascii="Times New Roman" w:hAnsi="Times New Roman" w:eastAsia="Times New Roman"/>
          <w:sz w:val="19"/>
        </w:rPr>
        <w:t>[1] A. Geiger, P. Lenz, and R. Urtasun, “Are We Ready for Autonomous Driving? The KITTI Vision Benchmark Suite,” in Proc. IEEE Conf. Comput. Vis. Pattern Recognit. (CVPR), 2012.</w:t>
      </w:r>
    </w:p>
    <w:p>
      <w:pPr>
        <w:spacing w:after="20" w:line="228" w:lineRule="auto"/>
        <w:ind w:left="317" w:hanging="317"/>
        <w:jc w:val="both"/>
      </w:pPr>
      <w:r>
        <w:rPr>
          <w:rFonts w:ascii="Times New Roman" w:hAnsi="Times New Roman" w:eastAsia="Times New Roman"/>
          <w:sz w:val="19"/>
        </w:rPr>
        <w:t>[2] P. Sun et al., “Scalability in Perception for Autonomous Driving: Waymo Open Dataset,” in Proc. IEEE/CVF Conf. Comput. Vis. Pattern Recognit. (CVPR), 2020.</w:t>
      </w:r>
    </w:p>
    <w:p>
      <w:pPr>
        <w:spacing w:after="20" w:line="228" w:lineRule="auto"/>
        <w:ind w:left="317" w:hanging="317"/>
        <w:jc w:val="both"/>
      </w:pPr>
      <w:r>
        <w:rPr>
          <w:rFonts w:ascii="Times New Roman" w:hAnsi="Times New Roman" w:eastAsia="Times New Roman"/>
          <w:sz w:val="19"/>
        </w:rPr>
        <w:t>[3] F. Yu et al., “BDD100K: A Diverse Driving Dataset for Heterogeneous Multitask Learning,” in Proc. IEEE/CVF Conf. Comput. Vis. Pattern Recognit. (CVPR), 2020.</w:t>
      </w:r>
    </w:p>
    <w:p>
      <w:pPr>
        <w:spacing w:after="20" w:line="228" w:lineRule="auto"/>
        <w:ind w:left="317" w:hanging="317"/>
        <w:jc w:val="both"/>
      </w:pPr>
      <w:r>
        <w:rPr>
          <w:rFonts w:ascii="Times New Roman" w:hAnsi="Times New Roman" w:eastAsia="Times New Roman"/>
          <w:sz w:val="19"/>
        </w:rPr>
        <w:t>[4] H. Caesar et al., “nuScenes: A Multimodal Dataset for Autonomous Driving,” in Proc. IEEE/CVF Conf. Comput. Vis. Pattern Recognit. (CVPR), 2020.</w:t>
      </w:r>
    </w:p>
    <w:p>
      <w:pPr>
        <w:spacing w:after="20" w:line="228" w:lineRule="auto"/>
        <w:ind w:left="317" w:hanging="317"/>
        <w:jc w:val="both"/>
      </w:pPr>
      <w:r>
        <w:rPr>
          <w:rFonts w:ascii="Times New Roman" w:hAnsi="Times New Roman" w:eastAsia="Times New Roman"/>
          <w:sz w:val="19"/>
        </w:rPr>
        <w:t>[5] S. Ren, K. He, R. Girshick, and J. Sun, “Faster R-CNN: Towards Real-Time Object Detection with Region Proposal Networks,” in Adv. Neural Inf. Process. Syst. (NeurIPS), 2015.</w:t>
      </w:r>
    </w:p>
    <w:p>
      <w:pPr>
        <w:spacing w:after="20" w:line="228" w:lineRule="auto"/>
        <w:ind w:left="317" w:hanging="317"/>
        <w:jc w:val="both"/>
      </w:pPr>
      <w:r>
        <w:rPr>
          <w:rFonts w:ascii="Times New Roman" w:hAnsi="Times New Roman" w:eastAsia="Times New Roman"/>
          <w:sz w:val="19"/>
        </w:rPr>
        <w:t>[6] T.-Y. Lin, P. Goyal, R. Girshick, K. He, and P. Dollár, “Focal Loss for Dense Object Detection,” in Proc. IEEE Int. Conf. Comput. Vis. (ICCV), 2017.</w:t>
      </w:r>
    </w:p>
    <w:p>
      <w:pPr>
        <w:spacing w:after="20" w:line="228" w:lineRule="auto"/>
        <w:ind w:left="317" w:hanging="317"/>
        <w:jc w:val="both"/>
      </w:pPr>
      <w:r>
        <w:rPr>
          <w:rFonts w:ascii="Times New Roman" w:hAnsi="Times New Roman" w:eastAsia="Times New Roman"/>
          <w:sz w:val="19"/>
        </w:rPr>
        <w:t>[7] C.-Y. Wang, A. Bochkovskiy, and H.-Y. M. Liao, “YOLOv7: Trainable Bag-of-Freebies Sets New State-of-the-Art for Real-Time Object Detectors,” in Proc. IEEE/CVF Conf. Comput. Vis. Pattern Recognit. (CVPR), 2023.</w:t>
      </w:r>
    </w:p>
    <w:p>
      <w:pPr>
        <w:spacing w:after="20" w:line="228" w:lineRule="auto"/>
        <w:ind w:left="317" w:hanging="317"/>
        <w:jc w:val="both"/>
      </w:pPr>
      <w:r>
        <w:rPr>
          <w:rFonts w:ascii="Times New Roman" w:hAnsi="Times New Roman" w:eastAsia="Times New Roman"/>
          <w:sz w:val="19"/>
        </w:rPr>
        <w:t>[8] N. Carion et al., “End-to-End Object Detection with Transformers,” in Proc. Eur. Conf. Comput. Vis. (ECCV), 2020.</w:t>
      </w:r>
    </w:p>
    <w:p>
      <w:pPr>
        <w:spacing w:after="20" w:line="228" w:lineRule="auto"/>
        <w:ind w:left="317" w:hanging="317"/>
        <w:jc w:val="both"/>
      </w:pPr>
      <w:r>
        <w:rPr>
          <w:rFonts w:ascii="Times New Roman" w:hAnsi="Times New Roman" w:eastAsia="Times New Roman"/>
          <w:sz w:val="19"/>
        </w:rPr>
        <w:t>[9] X. Zhu et al., “Deformable DETR: Deformable Transformers for End-to-End Object Detection,” in Proc. Int. Conf. Learn. Representations (ICLR), 2021.</w:t>
      </w:r>
    </w:p>
    <w:p>
      <w:pPr>
        <w:spacing w:after="20" w:line="228" w:lineRule="auto"/>
        <w:ind w:left="317" w:hanging="317"/>
        <w:jc w:val="both"/>
      </w:pPr>
      <w:r>
        <w:rPr>
          <w:rFonts w:ascii="Times New Roman" w:hAnsi="Times New Roman" w:eastAsia="Times New Roman"/>
          <w:sz w:val="19"/>
        </w:rPr>
        <w:t>[10] Y. Zhao et al., “DETRs Beat YOLOs on Real-Time Object Detection,” in Proc. IEEE/CVF Conf. Comput. Vis. Pattern Recognit. (CVPR), 2024.</w:t>
      </w:r>
    </w:p>
    <w:p>
      <w:pPr>
        <w:spacing w:after="20" w:line="228" w:lineRule="auto"/>
        <w:ind w:left="317" w:hanging="317"/>
        <w:jc w:val="both"/>
      </w:pPr>
      <w:r>
        <w:rPr>
          <w:rFonts w:ascii="Times New Roman" w:hAnsi="Times New Roman" w:eastAsia="Times New Roman"/>
          <w:sz w:val="19"/>
        </w:rPr>
        <w:t>[11] Y. Chen, W. Li, C. Sakaridis, D. Dai, and L. Van Gool, “Domain Adaptive Faster R-CNN for Object Detection in the Wild,” in Proc. IEEE/CVF Conf. Comput. Vis. Pattern Recognit. (CVPR), 2018.</w:t>
      </w:r>
    </w:p>
    <w:p>
      <w:pPr>
        <w:spacing w:after="20" w:line="228" w:lineRule="auto"/>
        <w:ind w:left="317" w:hanging="317"/>
        <w:jc w:val="both"/>
      </w:pPr>
      <w:r>
        <w:rPr>
          <w:rFonts w:ascii="Times New Roman" w:hAnsi="Times New Roman" w:eastAsia="Times New Roman"/>
          <w:sz w:val="19"/>
        </w:rPr>
        <w:t>[12] I. Hasan et al., “Generalizable Pedestrian Detection: The Elephant in the Room,” in Proc. IEEE/CVF Conf. Comput. Vis. Pattern Recognit. (CVPR), 2021.</w:t>
      </w:r>
    </w:p>
    <w:p>
      <w:pPr>
        <w:spacing w:after="20" w:line="228" w:lineRule="auto"/>
        <w:ind w:left="317" w:hanging="317"/>
        <w:jc w:val="both"/>
      </w:pPr>
      <w:r>
        <w:rPr>
          <w:rFonts w:ascii="Times New Roman" w:hAnsi="Times New Roman" w:eastAsia="Times New Roman"/>
          <w:sz w:val="19"/>
        </w:rPr>
        <w:t>[13] T. Sun et al., “SHIFT: A Synthetic Driving Dataset for Continuous Multi-Task Domain Adaptation,” in Proc. IEEE/CVF Conf. Comput. Vis. Pattern Recognit. (CVPR), 2022.</w:t>
      </w:r>
    </w:p>
    <w:p>
      <w:pPr>
        <w:spacing w:after="20" w:line="228" w:lineRule="auto"/>
        <w:ind w:left="317" w:hanging="317"/>
        <w:jc w:val="both"/>
      </w:pPr>
      <w:r>
        <w:rPr>
          <w:rFonts w:ascii="Times New Roman" w:hAnsi="Times New Roman" w:eastAsia="Times New Roman"/>
          <w:sz w:val="19"/>
        </w:rPr>
        <w:t>[14] S. Gupta et al., “Robust Object Detection in Challenging Weather Conditions,” in Proc. IEEE/CVF Winter Conf. Appl. Comput. Vis. (WACV), 2024.</w:t>
      </w:r>
    </w:p>
    <w:p>
      <w:pPr>
        <w:spacing w:after="20" w:line="228" w:lineRule="auto"/>
        <w:ind w:left="317" w:hanging="317"/>
        <w:jc w:val="both"/>
      </w:pPr>
      <w:r>
        <w:rPr>
          <w:rFonts w:ascii="Times New Roman" w:hAnsi="Times New Roman" w:eastAsia="Times New Roman"/>
          <w:sz w:val="19"/>
        </w:rPr>
        <w:t>[15] Y. Li et al., “Cross-Domain Adaptive Teacher for Object Detection,” in Proc. IEEE/CVF Conf. Comput. Vis. Pattern Recognit. (CVPR), 2022.</w:t>
      </w:r>
    </w:p>
    <w:p>
      <w:pPr>
        <w:spacing w:after="20" w:line="228" w:lineRule="auto"/>
        <w:ind w:left="317" w:hanging="317"/>
        <w:jc w:val="both"/>
      </w:pPr>
      <w:r>
        <w:rPr>
          <w:rFonts w:ascii="Times New Roman" w:hAnsi="Times New Roman" w:eastAsia="Times New Roman"/>
          <w:sz w:val="19"/>
        </w:rPr>
        <w:t>[16] D. Bolya, S. Foley, J. Hays, and J. Hoffman, “TIDE: A General Toolbox for Identifying Object Detection Errors,” in Proc. Eur. Conf. Comput. Vis. (ECCV), 2020.</w:t>
      </w:r>
    </w:p>
    <w:p>
      <w:pPr>
        <w:spacing w:after="20" w:line="228" w:lineRule="auto"/>
        <w:ind w:left="317" w:hanging="317"/>
        <w:jc w:val="both"/>
      </w:pPr>
      <w:r>
        <w:rPr>
          <w:rFonts w:ascii="Times New Roman" w:hAnsi="Times New Roman" w:eastAsia="Times New Roman"/>
          <w:sz w:val="19"/>
        </w:rPr>
        <w:t>[17] J. Yang et al., “Real-Time Object Detection for Streaming Perception,” in Proc. IEEE/CVF Conf. Comput. Vis. Pattern Recognit. (CVPR), 2022.</w:t>
      </w:r>
    </w:p>
    <w:p>
      <w:pPr>
        <w:spacing w:after="20" w:line="228" w:lineRule="auto"/>
        <w:ind w:left="317" w:hanging="317"/>
        <w:jc w:val="both"/>
      </w:pPr>
      <w:r>
        <w:rPr>
          <w:rFonts w:ascii="Times New Roman" w:hAnsi="Times New Roman" w:eastAsia="Times New Roman"/>
          <w:sz w:val="19"/>
        </w:rPr>
        <w:t>[18] S. Wang et al., “Are We Ready for Vision-Centric Driving Streaming Perception? The ASAP Benchmark,” in Proc. IEEE/CVF Conf. Comput. Vis. Pattern Recognit. (CVPR), 2023.</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imes New Roman" w:hAnsi="Times New Roman" w:eastAsia="Times New Roman"/>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1: Title, Initial Abstract, and Related Work Draft</dc:title>
  <dc:subject>Cross-dataset object detection in autonomous driving</dc:subject>
  <dc:creator>python-docx</dc:creator>
  <cp:keywords>KITTI, Waymo, object detection, cross-dataset generalization, autonomous driving</cp:keywords>
  <dc:description>generated by python-docx</dc:description>
  <cp:lastModifiedBy/>
  <cp:revision>1</cp:revision>
  <dcterms:created xsi:type="dcterms:W3CDTF">2013-12-23T23:15:00Z</dcterms:created>
  <dcterms:modified xsi:type="dcterms:W3CDTF">2013-12-23T23:15:00Z</dcterms:modified>
  <cp:category/>
</cp:coreProperties>
</file>