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Real-Time Intrinsic TND</w:t>
        <w:br/>
        <w:t>Valuation Model</w:t>
      </w:r>
    </w:p>
    <w:p>
      <w:pPr>
        <w:jc w:val="center"/>
      </w:pPr>
      <w:r>
        <w:rPr>
          <w:i/>
          <w:color w:val="595959"/>
          <w:sz w:val="26"/>
        </w:rPr>
        <w:t>A basket-based baseline with Kalman-filtered liquidity adjustment</w:t>
        <w:br/>
        <w:t>for the USD/TND exchange rate</w:t>
      </w:r>
    </w:p>
    <w:p>
      <w:r>
        <w:br/>
        <w:br/>
      </w:r>
    </w:p>
    <w:tbl>
      <w:tblPr>
        <w:tblW w:type="auto" w:w="0"/>
        <w:jc w:val="center"/>
        <w:tblLook w:firstColumn="1" w:firstRow="1" w:lastColumn="0" w:lastRow="0" w:noHBand="0" w:noVBand="1" w:val="04A0"/>
      </w:tblPr>
      <w:tblGrid>
        <w:gridCol w:w="4320"/>
        <w:gridCol w:w="4320"/>
      </w:tblGrid>
      <w:tr>
        <w:tc>
          <w:tcPr>
            <w:tcW w:type="dxa" w:w="4320"/>
          </w:tcPr>
          <w:p>
            <w:r>
              <w:rPr>
                <w:b/>
                <w:sz w:val="22"/>
              </w:rPr>
              <w:t>Course</w:t>
            </w:r>
          </w:p>
        </w:tc>
        <w:tc>
          <w:tcPr>
            <w:tcW w:type="dxa" w:w="4320"/>
          </w:tcPr>
          <w:p>
            <w:r>
              <w:rPr>
                <w:sz w:val="22"/>
              </w:rPr>
              <w:t>IN 22-21 — Time Series Analysis</w:t>
            </w:r>
          </w:p>
        </w:tc>
      </w:tr>
      <w:tr>
        <w:tc>
          <w:tcPr>
            <w:tcW w:type="dxa" w:w="4320"/>
          </w:tcPr>
          <w:p>
            <w:r>
              <w:rPr>
                <w:b/>
                <w:sz w:val="22"/>
              </w:rPr>
              <w:t>Instructor</w:t>
            </w:r>
          </w:p>
        </w:tc>
        <w:tc>
          <w:tcPr>
            <w:tcW w:type="dxa" w:w="4320"/>
          </w:tcPr>
          <w:p>
            <w:r>
              <w:rPr>
                <w:sz w:val="22"/>
              </w:rPr>
              <w:t>Dr Eymen Errais</w:t>
            </w:r>
          </w:p>
        </w:tc>
      </w:tr>
      <w:tr>
        <w:tc>
          <w:tcPr>
            <w:tcW w:type="dxa" w:w="4320"/>
          </w:tcPr>
          <w:p>
            <w:r>
              <w:rPr>
                <w:b/>
                <w:sz w:val="22"/>
              </w:rPr>
              <w:t>Authors</w:t>
            </w:r>
          </w:p>
        </w:tc>
        <w:tc>
          <w:tcPr>
            <w:tcW w:type="dxa" w:w="4320"/>
          </w:tcPr>
          <w:p>
            <w:r>
              <w:rPr>
                <w:sz w:val="22"/>
              </w:rPr>
              <w:t>« Replace with author names »</w:t>
            </w:r>
          </w:p>
        </w:tc>
      </w:tr>
      <w:tr>
        <w:tc>
          <w:tcPr>
            <w:tcW w:type="dxa" w:w="4320"/>
          </w:tcPr>
          <w:p>
            <w:r>
              <w:rPr>
                <w:b/>
                <w:sz w:val="22"/>
              </w:rPr>
              <w:t>Date</w:t>
            </w:r>
          </w:p>
        </w:tc>
        <w:tc>
          <w:tcPr>
            <w:tcW w:type="dxa" w:w="4320"/>
          </w:tcPr>
          <w:p>
            <w:r>
              <w:rPr>
                <w:sz w:val="22"/>
              </w:rPr>
              <w:t>May 2026</w:t>
            </w:r>
          </w:p>
        </w:tc>
      </w:tr>
    </w:tbl>
    <w:p>
      <w:r>
        <w:br w:type="page"/>
      </w:r>
    </w:p>
    <w:p>
      <w:pPr>
        <w:pStyle w:val="Heading1"/>
      </w:pPr>
      <w:r>
        <w:t>Table of Contents</w:t>
      </w:r>
    </w:p>
    <w:p>
      <w:pPr/>
      <w:r>
        <w:rPr>
          <w:b w:val="0"/>
          <w:i/>
        </w:rPr>
        <w:t>Right-click → Update Field in Word to populate. (Placeholder ToC.)</w:t>
      </w:r>
    </w:p>
    <w:p/>
    <w:p>
      <w:r>
        <w:t>1. Executive Summary</w:t>
      </w:r>
    </w:p>
    <w:p>
      <w:r>
        <w:t>2. Background and Problem Statement</w:t>
      </w:r>
    </w:p>
    <w:p>
      <w:r>
        <w:t>3. Data</w:t>
      </w:r>
    </w:p>
    <w:p>
      <w:r>
        <w:t>4. Model Framework</w:t>
      </w:r>
    </w:p>
    <w:p>
      <w:r>
        <w:t>5. Basket Weight Estimation</w:t>
      </w:r>
    </w:p>
    <w:p>
      <w:r>
        <w:t>6. Stochastic Liquidity Adjustment</w:t>
      </w:r>
    </w:p>
    <w:p>
      <w:r>
        <w:t>7. Interbank Rate Nowcasting under Data Lag</w:t>
      </w:r>
    </w:p>
    <w:p>
      <w:r>
        <w:t>8. Real-Time / Intraday Operation</w:t>
      </w:r>
    </w:p>
    <w:p>
      <w:r>
        <w:t>9. Performance Evaluation and Backtesting</w:t>
      </w:r>
    </w:p>
    <w:p>
      <w:r>
        <w:t>10. Limitations and Future Work</w:t>
      </w:r>
    </w:p>
    <w:p>
      <w:r>
        <w:t>11. Conclusion</w:t>
      </w:r>
    </w:p>
    <w:p>
      <w:r>
        <w:t>Appendix A — Repository Structure</w:t>
      </w:r>
    </w:p>
    <w:p>
      <w:r>
        <w:t>Appendix B — Database Schema</w:t>
      </w:r>
    </w:p>
    <w:p>
      <w:r>
        <w:t>Appendix C — Key Equations</w:t>
      </w:r>
    </w:p>
    <w:p>
      <w:r>
        <w:br w:type="page"/>
      </w:r>
    </w:p>
    <w:p>
      <w:pPr>
        <w:pStyle w:val="Heading1"/>
      </w:pPr>
      <w:r>
        <w:t>1. Executive Summary</w:t>
      </w:r>
    </w:p>
    <w:p>
      <w:pPr/>
      <w:r>
        <w:rPr>
          <w:b w:val="0"/>
          <w:i w:val="0"/>
        </w:rPr>
        <w:t>This report presents a real-time intrinsic-value model for the USD/TND exchange rate. The model combines a fundamental basket-based baseline — driven by global FX movements in EUR/USD, GBP/USD, and USD/JPY — with a stochastic adjustment that captures local Tunisian FX-market frictions, primarily liquidity pressure between the official BCT fixing and the lagged interbank (IB) rate.</w:t>
      </w:r>
    </w:p>
    <w:p>
      <w:pPr/>
      <w:r>
        <w:rPr>
          <w:b w:val="0"/>
          <w:i w:val="0"/>
        </w:rPr>
        <w:t>The implementation is delivered as a zero-cost Python pipeline with a SQLite store, an Excel reporting layer, and a Streamlit dashboard. Two operational modes are supported: a daily batch (orchestrated by run_pipeline.py) and a true intraday loop (run_realtime.py) that ticks at minute resolution and emits a continuously updated intrinsic value.</w:t>
      </w:r>
    </w:p>
    <w:p>
      <w:pPr/>
      <w:r>
        <w:rPr>
          <w:b/>
          <w:i w:val="0"/>
        </w:rPr>
        <w:t>Key contributions:</w:t>
      </w:r>
    </w:p>
    <w:p>
      <w:pPr>
        <w:pStyle w:val="ListBullet"/>
      </w:pPr>
      <w:r>
        <w:t>Rolling 90-day OLS estimation of basket weights with Newey-West (HAC) standard errors, t-stats and p-values.</w:t>
      </w:r>
    </w:p>
    <w:p>
      <w:pPr>
        <w:pStyle w:val="ListBullet"/>
      </w:pPr>
      <w:r>
        <w:t>AR(1) + Kalman filter on the IB-Fix spread with joint maximum-likelihood calibration of (c, φ, Q, R).</w:t>
      </w:r>
    </w:p>
    <w:p>
      <w:pPr>
        <w:pStyle w:val="ListBullet"/>
      </w:pPr>
      <w:r>
        <w:t>Real-time intraday engine using free 1-minute FX bars and an anchored basket return; ±2σ confidence band from the Kalman state covariance.</w:t>
      </w:r>
    </w:p>
    <w:p>
      <w:pPr>
        <w:pStyle w:val="ListBullet"/>
      </w:pPr>
      <w:r>
        <w:t>Walk-forward backtest with MAE / RMSE / MAPE / directional accuracy, Diebold-Mariano test vs random-walk, Ljung-Box on residuals, ADF / KPSS on the spread.</w:t>
      </w:r>
    </w:p>
    <w:p>
      <w:pPr>
        <w:pStyle w:val="ListBullet"/>
      </w:pPr>
      <w:r>
        <w:t>Two-fixing (AM / PM) schema with documented choice of which fixing anchors the basket vs the spread.</w:t>
      </w:r>
    </w:p>
    <w:p>
      <w:pPr>
        <w:pStyle w:val="ListBullet"/>
      </w:pPr>
      <w:r>
        <w:t>Read-only FastAPI dashboard with premium / discount narrative, live intraday section, and an embedded LLM analyst (Claude / Groq) that answers user questions grounded on the current market snapshot.</w:t>
      </w:r>
    </w:p>
    <w:p>
      <w:pPr>
        <w:pStyle w:val="ListBullet"/>
      </w:pPr>
      <w:r>
        <w:t>Macro-overlay regression with FRED / Yahoo Finance covariates (Brent, broad USD, VIX) — finds the broad-dollar index significant at p&lt;0.001 as a driver of the IB-Fix spread.</w:t>
      </w:r>
    </w:p>
    <w:p>
      <w:pPr>
        <w:pStyle w:val="ListBullet"/>
      </w:pPr>
      <w:r>
        <w:t>Operational channels: Excel report (5 sheets), Word document, Streamlit (legacy) and FastAPI (current) dashboards, optional Telegram push notification at end of the daily run.</w:t>
      </w:r>
    </w:p>
    <w:p>
      <w:pPr/>
      <w:r>
        <w:rPr>
          <w:b/>
          <w:i w:val="0"/>
        </w:rPr>
        <w:t>Headline empirical finding:</w:t>
      </w:r>
    </w:p>
    <w:p>
      <w:pPr/>
      <w:r>
        <w:rPr>
          <w:b w:val="0"/>
          <w:i w:val="0"/>
        </w:rPr>
        <w:t>On out-of-sample data, the model achieves high R² in levels (≈0.97) but is outperformed by a one-day random-walk baseline in absolute error (DM p≈0). Combined with strongly autocorrelated residuals (Ljung-Box p≈0) and a borderline-non-stationary spread, this indicates that local Tunisian FX dynamics carry structure not captured by a linear basket + AR(1) Kalman. The honest interpretation is that BCT actively manages the fixing rather than letting it freely track the basket — none of the basket coefficients is statistically significant after Newey-West correction on the full sample. This motivates the regime-switching and macro-overlay extensions discussed in §10.</w:t>
      </w:r>
    </w:p>
    <w:p>
      <w:pPr>
        <w:pStyle w:val="Heading1"/>
      </w:pPr>
      <w:r>
        <w:t>2. Background and Problem Statement</w:t>
      </w:r>
    </w:p>
    <w:p>
      <w:pPr/>
      <w:r>
        <w:rPr>
          <w:b w:val="0"/>
          <w:i w:val="0"/>
        </w:rPr>
        <w:t>The Tunisian Dinar (TND) exchange rate against the US Dollar (USD) is officially determined by the Central Bank of Tunisia (BCT) and is published as an official fixing rate twice daily — morning and evening. These fixings serve as benchmarks and are broadly aligned with global currency movements, particularly EUR/USD, GBP/USD, and USD/JPY. Conceptually, the intrinsic value of USD/TND can be expressed as a weighted basket of these major currency pair returns:</w:t>
      </w:r>
    </w:p>
    <w:p>
      <w:pPr>
        <w:pStyle w:val="Mono"/>
      </w:pPr>
      <w:r>
        <w:t>USD/TND = (Latest fixing) × (w1·%ΔEUR/USD + w2·%ΔGBP/USD + w3·%ΔUSD/JPY)</w:t>
      </w:r>
    </w:p>
    <w:p>
      <w:pPr/>
      <w:r>
        <w:rPr>
          <w:b w:val="0"/>
          <w:i w:val="0"/>
        </w:rPr>
        <w:t>The actual market USD/TND rate, however, deviates from this basket-implied value due to local FX market conditions — liquidity scarcity, supply/demand imbalances, and regulatory frictions. The interbank (IB) rate, published with a one-day lag, is the best available proxy for the true local market price. The challenge is to model these deviations in real time, despite the IB data lag, to produce a continuously updating fair-value estimate.</w:t>
      </w:r>
    </w:p>
    <w:p>
      <w:pPr>
        <w:pStyle w:val="Heading1"/>
      </w:pPr>
      <w:r>
        <w:t>3. Data</w:t>
      </w:r>
    </w:p>
    <w:p>
      <w:pPr>
        <w:pStyle w:val="Heading2"/>
      </w:pPr>
      <w:r>
        <w:t>3.1 Sources</w:t>
      </w:r>
    </w:p>
    <w:p>
      <w:pPr>
        <w:pStyle w:val="ListBullet"/>
      </w:pPr>
      <w:r>
        <w:t>Global FX (EUR/USD, GBP/USD, USD/JPY) — daily: ExchangeRate-API v6 (primary), exchangerate.host (fallback), frankfurter.app (fallback).</w:t>
      </w:r>
    </w:p>
    <w:p>
      <w:pPr>
        <w:pStyle w:val="ListBullet"/>
      </w:pPr>
      <w:r>
        <w:t>Global FX intraday (1-minute bars): yfinance (yahoo finance, free, no API key).</w:t>
      </w:r>
    </w:p>
    <w:p>
      <w:pPr>
        <w:pStyle w:val="ListBullet"/>
      </w:pPr>
      <w:r>
        <w:t>BCT official fixing (USD/TND): scraped from https://www.bct.gov.tn or supplied via the BCT_FIX_MID environment variable.</w:t>
      </w:r>
    </w:p>
    <w:p>
      <w:pPr>
        <w:pStyle w:val="ListBullet"/>
      </w:pPr>
      <w:r>
        <w:t>Historical IB rates: data/ib.csv (seeded into fx_rates.ib_rate).</w:t>
      </w:r>
    </w:p>
    <w:p>
      <w:pPr>
        <w:pStyle w:val="ListBullet"/>
      </w:pPr>
      <w:r>
        <w:t>Historical baseline FX + Fix: data/FX-CLEAN-Data.csv.</w:t>
      </w:r>
    </w:p>
    <w:p>
      <w:pPr>
        <w:pStyle w:val="Heading2"/>
      </w:pPr>
      <w:r>
        <w:t>3.2 Conventions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Field</w:t>
            </w:r>
          </w:p>
        </w:tc>
        <w:tc>
          <w:tcPr>
            <w:tcW w:type="dxa" w:w="4320"/>
            <w:shd w:val="clear" w:color="auto" w:fill="1F4E79"/>
          </w:tcPr>
          <w:p>
            <w:r>
              <w:rPr>
                <w:b/>
                <w:color w:val="FFFFFF"/>
              </w:rPr>
              <w:t>Value</w:t>
            </w:r>
          </w:p>
        </w:tc>
      </w:tr>
      <w:tr>
        <w:tc>
          <w:tcPr>
            <w:tcW w:type="dxa" w:w="4320"/>
          </w:tcPr>
          <w:p>
            <w:r>
              <w:t>EUR/USD</w:t>
            </w:r>
          </w:p>
        </w:tc>
        <w:tc>
          <w:tcPr>
            <w:tcW w:type="dxa" w:w="4320"/>
          </w:tcPr>
          <w:p>
            <w:r>
              <w:t>USD per 1 EUR</w:t>
            </w:r>
          </w:p>
        </w:tc>
      </w:tr>
      <w:tr>
        <w:tc>
          <w:tcPr>
            <w:tcW w:type="dxa" w:w="4320"/>
          </w:tcPr>
          <w:p>
            <w:r>
              <w:t>GBP/USD</w:t>
            </w:r>
          </w:p>
        </w:tc>
        <w:tc>
          <w:tcPr>
            <w:tcW w:type="dxa" w:w="4320"/>
          </w:tcPr>
          <w:p>
            <w:r>
              <w:t>USD per 1 GBP</w:t>
            </w:r>
          </w:p>
        </w:tc>
      </w:tr>
      <w:tr>
        <w:tc>
          <w:tcPr>
            <w:tcW w:type="dxa" w:w="4320"/>
          </w:tcPr>
          <w:p>
            <w:r>
              <w:t>USD/JPY</w:t>
            </w:r>
          </w:p>
        </w:tc>
        <w:tc>
          <w:tcPr>
            <w:tcW w:type="dxa" w:w="4320"/>
          </w:tcPr>
          <w:p>
            <w:r>
              <w:t>JPY per 1 USD</w:t>
            </w:r>
          </w:p>
        </w:tc>
      </w:tr>
      <w:tr>
        <w:tc>
          <w:tcPr>
            <w:tcW w:type="dxa" w:w="4320"/>
          </w:tcPr>
          <w:p>
            <w:r>
              <w:t>fix_mid</w:t>
            </w:r>
          </w:p>
        </w:tc>
        <w:tc>
          <w:tcPr>
            <w:tcW w:type="dxa" w:w="4320"/>
          </w:tcPr>
          <w:p>
            <w:r>
              <w:t>TND per 1 USD (BCT mid fixing)</w:t>
            </w:r>
          </w:p>
        </w:tc>
      </w:tr>
      <w:tr>
        <w:tc>
          <w:tcPr>
            <w:tcW w:type="dxa" w:w="4320"/>
          </w:tcPr>
          <w:p>
            <w:r>
              <w:t>ib_rate</w:t>
            </w:r>
          </w:p>
        </w:tc>
        <w:tc>
          <w:tcPr>
            <w:tcW w:type="dxa" w:w="4320"/>
          </w:tcPr>
          <w:p>
            <w:r>
              <w:t>TND per 1 USD (interbank, T-1 lag)</w:t>
            </w:r>
          </w:p>
        </w:tc>
      </w:tr>
      <w:tr>
        <w:tc>
          <w:tcPr>
            <w:tcW w:type="dxa" w:w="4320"/>
          </w:tcPr>
          <w:p>
            <w:r>
              <w:t>Returns</w:t>
            </w:r>
          </w:p>
        </w:tc>
        <w:tc>
          <w:tcPr>
            <w:tcW w:type="dxa" w:w="4320"/>
          </w:tcPr>
          <w:p>
            <w:r>
              <w:t>Log-returns: r_t = ln(P_t / P_{t-1})</w:t>
            </w:r>
          </w:p>
        </w:tc>
      </w:tr>
      <w:tr>
        <w:tc>
          <w:tcPr>
            <w:tcW w:type="dxa" w:w="4320"/>
          </w:tcPr>
          <w:p>
            <w:r>
              <w:t>Spread</w:t>
            </w:r>
          </w:p>
        </w:tc>
        <w:tc>
          <w:tcPr>
            <w:tcW w:type="dxa" w:w="4320"/>
          </w:tcPr>
          <w:p>
            <w:r>
              <w:t>spread_pub = ib_rate − fix_mid (units: TND)</w:t>
            </w:r>
          </w:p>
        </w:tc>
      </w:tr>
    </w:tbl>
    <w:p>
      <w:pPr>
        <w:pStyle w:val="Heading2"/>
      </w:pPr>
      <w:r>
        <w:t>3.3 Persistence</w:t>
      </w:r>
    </w:p>
    <w:p>
      <w:pPr/>
      <w:r>
        <w:rPr>
          <w:b w:val="0"/>
          <w:i w:val="0"/>
        </w:rPr>
        <w:t>All series are stored in a single SQLite database (data/tnd.db). The schema is reproduced in Appendix B.</w:t>
      </w:r>
    </w:p>
    <w:p>
      <w:pPr>
        <w:pStyle w:val="Heading1"/>
      </w:pPr>
      <w:r>
        <w:t>4. Model Framework</w:t>
      </w:r>
    </w:p>
    <w:p>
      <w:pPr/>
      <w:r>
        <w:rPr>
          <w:b w:val="0"/>
          <w:i w:val="0"/>
        </w:rPr>
        <w:t>The intrinsic value of USD/TND at time t is decomposed into two additive components:</w:t>
      </w:r>
    </w:p>
    <w:p>
      <w:pPr>
        <w:pStyle w:val="Mono"/>
      </w:pPr>
      <w:r>
        <w:t>intrinsic_v2(t) = intrinsic_v1(t) + kf_state(t)</w:t>
      </w:r>
    </w:p>
    <w:p>
      <w:pPr>
        <w:pStyle w:val="Mono"/>
      </w:pPr>
      <w:r>
        <w:t>intrinsic_v1(t) = anchor_fix × exp( w_const + w_EUR·r_EUR + w_GBP·r_GBP + w_JPY·r_JPY )</w:t>
      </w:r>
    </w:p>
    <w:p>
      <w:pPr>
        <w:pStyle w:val="ListBullet"/>
      </w:pPr>
      <w:r>
        <w:t>intrinsic_v1 — basket baseline. Anchored on the most recent BCT fixing and shocked by the log-return of the global basket since the anchor time.</w:t>
      </w:r>
    </w:p>
    <w:p>
      <w:pPr>
        <w:pStyle w:val="ListBullet"/>
      </w:pPr>
      <w:r>
        <w:t>kf_state — stochastic local-liquidity adjustment. Filtered estimate of the IB-vs-Fix spread using an AR(1) state-space model.</w:t>
      </w:r>
    </w:p>
    <w:p>
      <w:pPr/>
      <w:r>
        <w:rPr>
          <w:b w:val="0"/>
          <w:i w:val="0"/>
        </w:rPr>
        <w:t>Daily mode refits the basket weights and the Kalman parameters once per day from the lookback window (default 500 days). Intraday mode reuses the daily-fit parameters and advances the Kalman state forward at each tick — see Section 8.</w:t>
      </w:r>
    </w:p>
    <w:p>
      <w:pPr>
        <w:pStyle w:val="Heading1"/>
      </w:pPr>
      <w:r>
        <w:t>5. Basket Weight Estimation</w:t>
      </w:r>
    </w:p>
    <w:p>
      <w:pPr>
        <w:pStyle w:val="Heading2"/>
      </w:pPr>
      <w:r>
        <w:t>5.1 Specification</w:t>
      </w:r>
    </w:p>
    <w:p>
      <w:pPr/>
      <w:r>
        <w:rPr>
          <w:b w:val="0"/>
          <w:i w:val="0"/>
        </w:rPr>
        <w:t>The basket function f is estimated via ordinary least squares (OLS) on log-returns:</w:t>
      </w:r>
    </w:p>
    <w:p>
      <w:pPr>
        <w:pStyle w:val="Mono"/>
      </w:pPr>
      <w:r>
        <w:t>y_t  = ret_Fix = log(fix_mid_t / fix_mid_{t-1})</w:t>
      </w:r>
    </w:p>
    <w:p>
      <w:pPr>
        <w:pStyle w:val="Mono"/>
      </w:pPr>
      <w:r>
        <w:t>x_t  = [1, ret_EURUSD, ret_GBPUSD, ret_USDJPY]</w:t>
      </w:r>
    </w:p>
    <w:p>
      <w:pPr>
        <w:pStyle w:val="Mono"/>
      </w:pPr>
      <w:r>
        <w:t>y_t  = β · x_t + ε_t</w:t>
      </w:r>
    </w:p>
    <w:p>
      <w:pPr/>
      <w:r>
        <w:rPr>
          <w:b w:val="0"/>
          <w:i w:val="0"/>
        </w:rPr>
        <w:t>Two estimators are produced:</w:t>
      </w:r>
    </w:p>
    <w:p>
      <w:pPr>
        <w:pStyle w:val="ListBullet"/>
      </w:pPr>
      <w:r>
        <w:t>Full-sample OLS — used for goodness-of-fit reporting (R²).</w:t>
      </w:r>
    </w:p>
    <w:p>
      <w:pPr>
        <w:pStyle w:val="ListBullet"/>
      </w:pPr>
      <w:r>
        <w:t>Rolling 90-day OLS — refit at each step; the latest row supplies weights to predict_today().</w:t>
      </w:r>
    </w:p>
    <w:p>
      <w:pPr>
        <w:pStyle w:val="Heading2"/>
      </w:pPr>
      <w:r>
        <w:t>5.2 Methodology</w:t>
      </w:r>
    </w:p>
    <w:p>
      <w:pPr>
        <w:pStyle w:val="ListBullet"/>
      </w:pPr>
      <w:r>
        <w:t>Closed-form solution via numpy.linalg.lstsq (Moore-Penrose pseudo-inverse).</w:t>
      </w:r>
    </w:p>
    <w:p>
      <w:pPr>
        <w:pStyle w:val="ListBullet"/>
      </w:pPr>
      <w:r>
        <w:t>No regularization — the design matrix is well-conditioned at this dimensionality.</w:t>
      </w:r>
    </w:p>
    <w:p>
      <w:pPr>
        <w:pStyle w:val="ListBullet"/>
      </w:pPr>
      <w:r>
        <w:t>Returns are demeaned implicitly via the intercept term w_const.</w:t>
      </w:r>
    </w:p>
    <w:p>
      <w:pPr>
        <w:pStyle w:val="ListBullet"/>
      </w:pPr>
      <w:r>
        <w:t>Weights are not constrained to sum to 1; we report Σw as a stability diagnostic.</w:t>
      </w:r>
    </w:p>
    <w:p>
      <w:pPr>
        <w:pStyle w:val="Heading2"/>
      </w:pPr>
      <w:r>
        <w:t>5.3 Results</w:t>
      </w:r>
    </w:p>
    <w:p>
      <w:pPr/>
      <w:r>
        <w:rPr>
          <w:b/>
          <w:i w:val="0"/>
        </w:rPr>
        <w:t>Full-sample OLS with Newey-West HAC standard errors: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Field</w:t>
            </w:r>
          </w:p>
        </w:tc>
        <w:tc>
          <w:tcPr>
            <w:tcW w:type="dxa" w:w="4320"/>
            <w:shd w:val="clear" w:color="auto" w:fill="1F4E79"/>
          </w:tcPr>
          <w:p>
            <w:r>
              <w:rPr>
                <w:b/>
                <w:color w:val="FFFFFF"/>
              </w:rPr>
              <w:t>Value</w:t>
            </w:r>
          </w:p>
        </w:tc>
      </w:tr>
      <w:tr>
        <w:tc>
          <w:tcPr>
            <w:tcW w:type="dxa" w:w="4320"/>
          </w:tcPr>
          <w:p>
            <w:r>
              <w:t>Coefficient</w:t>
            </w:r>
          </w:p>
        </w:tc>
        <w:tc>
          <w:tcPr>
            <w:tcW w:type="dxa" w:w="4320"/>
          </w:tcPr>
          <w:p>
            <w:r>
              <w:t>Estimate · SE · t · p</w:t>
            </w:r>
          </w:p>
        </w:tc>
      </w:tr>
      <w:tr>
        <w:tc>
          <w:tcPr>
            <w:tcW w:type="dxa" w:w="4320"/>
          </w:tcPr>
          <w:p>
            <w:r>
              <w:t>Intercept</w:t>
            </w:r>
          </w:p>
        </w:tc>
        <w:tc>
          <w:tcPr>
            <w:tcW w:type="dxa" w:w="4320"/>
          </w:tcPr>
          <w:p>
            <w:r>
              <w:t>-0.000014 · 0.000082 · -0.167 · 0.8674</w:t>
            </w:r>
          </w:p>
        </w:tc>
      </w:tr>
      <w:tr>
        <w:tc>
          <w:tcPr>
            <w:tcW w:type="dxa" w:w="4320"/>
          </w:tcPr>
          <w:p>
            <w:r>
              <w:t>w_EURUSD</w:t>
            </w:r>
          </w:p>
        </w:tc>
        <w:tc>
          <w:tcPr>
            <w:tcW w:type="dxa" w:w="4320"/>
          </w:tcPr>
          <w:p>
            <w:r>
              <w:t>0.006894 · 0.026805 · 0.257 · 0.7970</w:t>
            </w:r>
          </w:p>
        </w:tc>
      </w:tr>
      <w:tr>
        <w:tc>
          <w:tcPr>
            <w:tcW w:type="dxa" w:w="4320"/>
          </w:tcPr>
          <w:p>
            <w:r>
              <w:t>w_GBPUSD</w:t>
            </w:r>
          </w:p>
        </w:tc>
        <w:tc>
          <w:tcPr>
            <w:tcW w:type="dxa" w:w="4320"/>
          </w:tcPr>
          <w:p>
            <w:r>
              <w:t>-0.007826 · 0.028017 · -0.279 · 0.7800</w:t>
            </w:r>
          </w:p>
        </w:tc>
      </w:tr>
      <w:tr>
        <w:tc>
          <w:tcPr>
            <w:tcW w:type="dxa" w:w="4320"/>
          </w:tcPr>
          <w:p>
            <w:r>
              <w:t>w_USDJPY</w:t>
            </w:r>
          </w:p>
        </w:tc>
        <w:tc>
          <w:tcPr>
            <w:tcW w:type="dxa" w:w="4320"/>
          </w:tcPr>
          <w:p>
            <w:r>
              <w:t>0.020252 · 0.013524 · 1.497 · 0.1343</w:t>
            </w:r>
          </w:p>
        </w:tc>
      </w:tr>
      <w:tr>
        <w:tc>
          <w:tcPr>
            <w:tcW w:type="dxa" w:w="4320"/>
          </w:tcPr>
          <w:p>
            <w:r>
              <w:t>R² (full-sample)</w:t>
            </w:r>
          </w:p>
        </w:tc>
        <w:tc>
          <w:tcPr>
            <w:tcW w:type="dxa" w:w="4320"/>
          </w:tcPr>
          <w:p>
            <w:r>
              <w:t>0.00199</w:t>
            </w:r>
          </w:p>
        </w:tc>
      </w:tr>
      <w:tr>
        <w:tc>
          <w:tcPr>
            <w:tcW w:type="dxa" w:w="4320"/>
          </w:tcPr>
          <w:p>
            <w:r>
              <w:t>N observations</w:t>
            </w:r>
          </w:p>
        </w:tc>
        <w:tc>
          <w:tcPr>
            <w:tcW w:type="dxa" w:w="4320"/>
          </w:tcPr>
          <w:p>
            <w:r>
              <w:t>1463</w:t>
            </w:r>
          </w:p>
        </w:tc>
      </w:tr>
      <w:tr>
        <w:tc>
          <w:tcPr>
            <w:tcW w:type="dxa" w:w="4320"/>
          </w:tcPr>
          <w:p>
            <w:r>
              <w:t>Newey-West lags</w:t>
            </w:r>
          </w:p>
        </w:tc>
        <w:tc>
          <w:tcPr>
            <w:tcW w:type="dxa" w:w="4320"/>
          </w:tcPr>
          <w:p>
            <w:r>
              <w:t>7</w:t>
            </w:r>
          </w:p>
        </w:tc>
      </w:tr>
    </w:tbl>
    <w:p>
      <w:pPr/>
      <w:r>
        <w:rPr>
          <w:b/>
          <w:i w:val="0"/>
        </w:rPr>
        <w:t>Latest 90-day rolling weights (used for live prediction):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Field</w:t>
            </w:r>
          </w:p>
        </w:tc>
        <w:tc>
          <w:tcPr>
            <w:tcW w:type="dxa" w:w="4320"/>
            <w:shd w:val="clear" w:color="auto" w:fill="1F4E79"/>
          </w:tcPr>
          <w:p>
            <w:r>
              <w:rPr>
                <w:b/>
                <w:color w:val="FFFFFF"/>
              </w:rPr>
              <w:t>Value</w:t>
            </w:r>
          </w:p>
        </w:tc>
      </w:tr>
      <w:tr>
        <w:tc>
          <w:tcPr>
            <w:tcW w:type="dxa" w:w="4320"/>
          </w:tcPr>
          <w:p>
            <w:r>
              <w:t>w_EURUSD</w:t>
            </w:r>
          </w:p>
        </w:tc>
        <w:tc>
          <w:tcPr>
            <w:tcW w:type="dxa" w:w="4320"/>
          </w:tcPr>
          <w:p>
            <w:r>
              <w:t>-0.172318</w:t>
            </w:r>
          </w:p>
        </w:tc>
      </w:tr>
      <w:tr>
        <w:tc>
          <w:tcPr>
            <w:tcW w:type="dxa" w:w="4320"/>
          </w:tcPr>
          <w:p>
            <w:r>
              <w:t>w_GBPUSD</w:t>
            </w:r>
          </w:p>
        </w:tc>
        <w:tc>
          <w:tcPr>
            <w:tcW w:type="dxa" w:w="4320"/>
          </w:tcPr>
          <w:p>
            <w:r>
              <w:t>-0.020225</w:t>
            </w:r>
          </w:p>
        </w:tc>
      </w:tr>
      <w:tr>
        <w:tc>
          <w:tcPr>
            <w:tcW w:type="dxa" w:w="4320"/>
          </w:tcPr>
          <w:p>
            <w:r>
              <w:t>w_USDJPY</w:t>
            </w:r>
          </w:p>
        </w:tc>
        <w:tc>
          <w:tcPr>
            <w:tcW w:type="dxa" w:w="4320"/>
          </w:tcPr>
          <w:p>
            <w:r>
              <w:t>0.106084</w:t>
            </w:r>
          </w:p>
        </w:tc>
      </w:tr>
      <w:tr>
        <w:tc>
          <w:tcPr>
            <w:tcW w:type="dxa" w:w="4320"/>
          </w:tcPr>
          <w:p>
            <w:r>
              <w:t>Σ weights</w:t>
            </w:r>
          </w:p>
        </w:tc>
        <w:tc>
          <w:tcPr>
            <w:tcW w:type="dxa" w:w="4320"/>
          </w:tcPr>
          <w:p>
            <w:r>
              <w:t>-0.086459</w:t>
            </w:r>
          </w:p>
        </w:tc>
      </w:tr>
      <w:tr>
        <w:tc>
          <w:tcPr>
            <w:tcW w:type="dxa" w:w="4320"/>
          </w:tcPr>
          <w:p>
            <w:r>
              <w:t>R² (rolling)</w:t>
            </w:r>
          </w:p>
        </w:tc>
        <w:tc>
          <w:tcPr>
            <w:tcW w:type="dxa" w:w="4320"/>
          </w:tcPr>
          <w:p>
            <w:r>
              <w:t>0.10214</w:t>
            </w:r>
          </w:p>
        </w:tc>
      </w:tr>
    </w:tbl>
    <w:p>
      <w:pPr/>
      <w:r>
        <w:rPr>
          <w:b/>
          <w:i w:val="0"/>
        </w:rPr>
        <w:t>Diagnostics (to be added):</w:t>
      </w:r>
    </w:p>
    <w:p>
      <w:pPr>
        <w:pStyle w:val="ListBullet"/>
      </w:pPr>
      <w:r>
        <w:t>Newey-West heteroskedasticity- and autocorrelation-consistent standard errors.</w:t>
      </w:r>
    </w:p>
    <w:p>
      <w:pPr>
        <w:pStyle w:val="ListBullet"/>
      </w:pPr>
      <w:r>
        <w:t>Weight-stability plot over the rolling window (chart in dashboard).</w:t>
      </w:r>
    </w:p>
    <w:p>
      <w:pPr>
        <w:pStyle w:val="ListBullet"/>
      </w:pPr>
      <w:r>
        <w:t>Residual ACF and Ljung-Box test for serial correlation.</w:t>
      </w:r>
    </w:p>
    <w:p>
      <w:pPr>
        <w:pStyle w:val="ListBullet"/>
      </w:pPr>
      <w:r>
        <w:t>ADF / KPSS stationarity tests on the return series.</w:t>
      </w:r>
    </w:p>
    <w:p>
      <w:pPr>
        <w:pStyle w:val="Heading1"/>
      </w:pPr>
      <w:r>
        <w:t>6. Stochastic Liquidity Adjustment</w:t>
      </w:r>
    </w:p>
    <w:p>
      <w:pPr>
        <w:pStyle w:val="Heading2"/>
      </w:pPr>
      <w:r>
        <w:t>6.1 Spread definition</w:t>
      </w:r>
    </w:p>
    <w:p>
      <w:pPr/>
      <w:r>
        <w:rPr>
          <w:b w:val="0"/>
          <w:i w:val="0"/>
        </w:rPr>
        <w:t>The local liquidity premium is captured by the spread between the IB rate and the BCT fixing:</w:t>
      </w:r>
    </w:p>
    <w:p>
      <w:pPr>
        <w:pStyle w:val="Mono"/>
      </w:pPr>
      <w:r>
        <w:t>spread_t = ib_rate_t − fix_mid_t</w:t>
      </w:r>
    </w:p>
    <w:p>
      <w:pPr>
        <w:pStyle w:val="Heading2"/>
      </w:pPr>
      <w:r>
        <w:t>6.2 AR(1) state-space model</w:t>
      </w:r>
    </w:p>
    <w:p>
      <w:pPr/>
      <w:r>
        <w:rPr>
          <w:b w:val="0"/>
          <w:i w:val="0"/>
        </w:rPr>
        <w:t>The spread is modelled as a noisy AR(1) process with the standard Kalman filter recursion:</w:t>
      </w:r>
    </w:p>
    <w:p>
      <w:pPr>
        <w:pStyle w:val="Mono"/>
      </w:pPr>
      <w:r>
        <w:t>State:        x_t = c + φ · x_{t-1} + w_t,   w_t ~ N(0, Q)</w:t>
      </w:r>
    </w:p>
    <w:p>
      <w:pPr>
        <w:pStyle w:val="Mono"/>
      </w:pPr>
      <w:r>
        <w:t>Observation:  y_t = x_t + v_t,                v_t ~ N(0, R)</w:t>
      </w:r>
    </w:p>
    <w:p>
      <w:pPr/>
      <w:r>
        <w:rPr>
          <w:b w:val="0"/>
          <w:i w:val="0"/>
        </w:rPr>
        <w:t>Parameters are estimated by joint maximum-likelihood:</w:t>
      </w:r>
    </w:p>
    <w:p>
      <w:pPr>
        <w:pStyle w:val="ListBullet"/>
      </w:pPr>
      <w:r>
        <w:t>The Gaussian log-likelihood ℒ(c, φ, Q, R | y₁…y_T) is computed via the Kalman innovations form.</w:t>
      </w:r>
    </w:p>
    <w:p>
      <w:pPr>
        <w:pStyle w:val="ListBullet"/>
      </w:pPr>
      <w:r>
        <w:t>Optimization: Nelder-Mead with multi-start; φ parameterized as tanh(z) to enforce |φ|&lt;1 stationarity; Q and R as exp(·) for positivity.</w:t>
      </w:r>
    </w:p>
    <w:p>
      <w:pPr>
        <w:pStyle w:val="ListBullet"/>
      </w:pPr>
      <w:r>
        <w:t>Steady-state covariance P_∞ obtained by fixed-point iteration of the Riccati equation.</w:t>
      </w:r>
    </w:p>
    <w:p>
      <w:pPr>
        <w:pStyle w:val="ListBullet"/>
      </w:pPr>
      <w:r>
        <w:t>Pre-MLE OLS seed retained for fallback if SciPy is unavailable.</w:t>
      </w:r>
    </w:p>
    <w:p>
      <w:pPr/>
      <w:r>
        <w:rPr>
          <w:b/>
          <w:i w:val="0"/>
        </w:rPr>
        <w:t>MLE estimates on the in-sample spread series: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Field</w:t>
            </w:r>
          </w:p>
        </w:tc>
        <w:tc>
          <w:tcPr>
            <w:tcW w:type="dxa" w:w="4320"/>
            <w:shd w:val="clear" w:color="auto" w:fill="1F4E79"/>
          </w:tcPr>
          <w:p>
            <w:r>
              <w:rPr>
                <w:b/>
                <w:color w:val="FFFFFF"/>
              </w:rPr>
              <w:t>Value</w:t>
            </w:r>
          </w:p>
        </w:tc>
      </w:tr>
      <w:tr>
        <w:tc>
          <w:tcPr>
            <w:tcW w:type="dxa" w:w="4320"/>
          </w:tcPr>
          <w:p>
            <w:r>
              <w:t>c (intercept)</w:t>
            </w:r>
          </w:p>
        </w:tc>
        <w:tc>
          <w:tcPr>
            <w:tcW w:type="dxa" w:w="4320"/>
          </w:tcPr>
          <w:p>
            <w:r>
              <w:t>+0.000075</w:t>
            </w:r>
          </w:p>
        </w:tc>
      </w:tr>
      <w:tr>
        <w:tc>
          <w:tcPr>
            <w:tcW w:type="dxa" w:w="4320"/>
          </w:tcPr>
          <w:p>
            <w:r>
              <w:t>φ (AR(1) coefficient)</w:t>
            </w:r>
          </w:p>
        </w:tc>
        <w:tc>
          <w:tcPr>
            <w:tcW w:type="dxa" w:w="4320"/>
          </w:tcPr>
          <w:p>
            <w:r>
              <w:t>+0.9893</w:t>
            </w:r>
          </w:p>
        </w:tc>
      </w:tr>
      <w:tr>
        <w:tc>
          <w:tcPr>
            <w:tcW w:type="dxa" w:w="4320"/>
          </w:tcPr>
          <w:p>
            <w:r>
              <w:t>Q (state variance)</w:t>
            </w:r>
          </w:p>
        </w:tc>
        <w:tc>
          <w:tcPr>
            <w:tcW w:type="dxa" w:w="4320"/>
          </w:tcPr>
          <w:p>
            <w:r>
              <w:t>9.934e-06</w:t>
            </w:r>
          </w:p>
        </w:tc>
      </w:tr>
      <w:tr>
        <w:tc>
          <w:tcPr>
            <w:tcW w:type="dxa" w:w="4320"/>
          </w:tcPr>
          <w:p>
            <w:r>
              <w:t>R (obs. variance)</w:t>
            </w:r>
          </w:p>
        </w:tc>
        <w:tc>
          <w:tcPr>
            <w:tcW w:type="dxa" w:w="4320"/>
          </w:tcPr>
          <w:p>
            <w:r>
              <w:t>2.702e-05</w:t>
            </w:r>
          </w:p>
        </w:tc>
      </w:tr>
      <w:tr>
        <w:tc>
          <w:tcPr>
            <w:tcW w:type="dxa" w:w="4320"/>
          </w:tcPr>
          <w:p>
            <w:r>
              <w:t>Log-likelihood</w:t>
            </w:r>
          </w:p>
        </w:tc>
        <w:tc>
          <w:tcPr>
            <w:tcW w:type="dxa" w:w="4320"/>
          </w:tcPr>
          <w:p>
            <w:r>
              <w:t>5175.54</w:t>
            </w:r>
          </w:p>
        </w:tc>
      </w:tr>
      <w:tr>
        <w:tc>
          <w:tcPr>
            <w:tcW w:type="dxa" w:w="4320"/>
          </w:tcPr>
          <w:p>
            <w:r>
              <w:t>N observations</w:t>
            </w:r>
          </w:p>
        </w:tc>
        <w:tc>
          <w:tcPr>
            <w:tcW w:type="dxa" w:w="4320"/>
          </w:tcPr>
          <w:p>
            <w:r>
              <w:t>1460</w:t>
            </w:r>
          </w:p>
        </w:tc>
      </w:tr>
      <w:tr>
        <w:tc>
          <w:tcPr>
            <w:tcW w:type="dxa" w:w="4320"/>
          </w:tcPr>
          <w:p>
            <w:r>
              <w:t>Method</w:t>
            </w:r>
          </w:p>
        </w:tc>
        <w:tc>
          <w:tcPr>
            <w:tcW w:type="dxa" w:w="4320"/>
          </w:tcPr>
          <w:p>
            <w:r>
              <w:t>mle</w:t>
            </w:r>
          </w:p>
        </w:tc>
      </w:tr>
    </w:tbl>
    <w:p>
      <w:pPr>
        <w:pStyle w:val="Heading2"/>
      </w:pPr>
      <w:r>
        <w:t>6.3 Forward propagation under IB lag</w:t>
      </w:r>
    </w:p>
    <w:p>
      <w:pPr/>
      <w:r>
        <w:rPr>
          <w:b w:val="0"/>
          <w:i w:val="0"/>
        </w:rPr>
        <w:t>Because the IB rate is published with a one-day lag, no observation update is available during the trading day. The intraday Kalman step therefore only propagates:</w:t>
      </w:r>
    </w:p>
    <w:p>
      <w:pPr>
        <w:pStyle w:val="Mono"/>
      </w:pPr>
      <w:r>
        <w:t>x_pred = c + φ · x_{last_obs}</w:t>
      </w:r>
    </w:p>
    <w:p>
      <w:pPr>
        <w:pStyle w:val="Mono"/>
      </w:pPr>
      <w:r>
        <w:t>P_pred = φ² · P_{last_obs} + Q</w:t>
      </w:r>
    </w:p>
    <w:p>
      <w:pPr>
        <w:pStyle w:val="Mono"/>
      </w:pPr>
      <w:r>
        <w:t>σ_t   = √P_pred</w:t>
      </w:r>
    </w:p>
    <w:p>
      <w:pPr/>
      <w:r>
        <w:rPr>
          <w:b w:val="0"/>
          <w:i w:val="0"/>
        </w:rPr>
        <w:t>Each new daily IB observation triggers a full Kalman update (filter step) and a refit of (c, φ, Q), invalidating the intraday parameter cache.</w:t>
      </w:r>
    </w:p>
    <w:p>
      <w:pPr>
        <w:pStyle w:val="Heading1"/>
      </w:pPr>
      <w:r>
        <w:t>7. Interbank Rate Nowcasting under Data Lag</w:t>
      </w:r>
    </w:p>
    <w:p>
      <w:pPr/>
      <w:r>
        <w:rPr>
          <w:b w:val="0"/>
          <w:i w:val="0"/>
        </w:rPr>
        <w:t>The BCT publishes the average interbank TND exchange rate with a one-day lag. The project specification asks for an algorithm that infers ("nowcasts") today's IB rate during the trading day. Our approach:</w:t>
      </w:r>
    </w:p>
    <w:p>
      <w:pPr>
        <w:pStyle w:val="ListBullet"/>
      </w:pPr>
      <w:r>
        <w:t>Anchor on yesterday's filtered Kalman state x_{T-1}.</w:t>
      </w:r>
    </w:p>
    <w:p>
      <w:pPr>
        <w:pStyle w:val="ListBullet"/>
      </w:pPr>
      <w:r>
        <w:t>Propagate one step forward using the AR(1) transition: x_T_pred = c + φ · x_{T-1}.</w:t>
      </w:r>
    </w:p>
    <w:p>
      <w:pPr>
        <w:pStyle w:val="ListBullet"/>
      </w:pPr>
      <w:r>
        <w:t>Surface the implied IB nowcast as: ib_nowcast(t) = intrinsic_v1(t) + x_T_pred.</w:t>
      </w:r>
    </w:p>
    <w:p>
      <w:pPr>
        <w:pStyle w:val="ListBullet"/>
      </w:pPr>
      <w:r>
        <w:t>When new partial signals are available (e.g., bank indicative quotes), they can be fed as additional observations into the same Kalman update — the framework is open.</w:t>
      </w:r>
    </w:p>
    <w:p>
      <w:pPr/>
      <w:r>
        <w:rPr>
          <w:b w:val="0"/>
          <w:i w:val="0"/>
        </w:rPr>
        <w:t>This produces a smooth, mean-reverting estimate of the IB rate that respects the AR(1) decay of the spread. The estimate uncertainty grows with √(P_pred), which the dashboard renders as a ±2σ band around the intrinsic value.</w:t>
      </w:r>
    </w:p>
    <w:p>
      <w:pPr>
        <w:pStyle w:val="Heading1"/>
      </w:pPr>
      <w:r>
        <w:t>8. Real-Time / Intraday Operation</w:t>
      </w:r>
    </w:p>
    <w:p>
      <w:pPr>
        <w:pStyle w:val="Heading2"/>
      </w:pPr>
      <w:r>
        <w:t>8.1 Architecture</w:t>
      </w:r>
    </w:p>
    <w:p>
      <w:pPr>
        <w:pStyle w:val="ListBullet"/>
      </w:pPr>
      <w:r>
        <w:t>realtime.tick(conn) — single tick: fetch quote → compute basket return → propagate Kalman → persist.</w:t>
      </w:r>
    </w:p>
    <w:p>
      <w:pPr>
        <w:pStyle w:val="ListBullet"/>
      </w:pPr>
      <w:r>
        <w:t>run_realtime.py — loop runner with --interval and --once flags; default 60-second cadence.</w:t>
      </w:r>
    </w:p>
    <w:p>
      <w:pPr>
        <w:pStyle w:val="ListBullet"/>
      </w:pPr>
      <w:r>
        <w:t>fx_intraday — raw quote table, minute resolution.</w:t>
      </w:r>
    </w:p>
    <w:p>
      <w:pPr>
        <w:pStyle w:val="ListBullet"/>
      </w:pPr>
      <w:r>
        <w:t>intrinsic_intraday — emitted estimates table, including kf_state, kf_sigma, intrinsic_v1, intrinsic_v2.</w:t>
      </w:r>
    </w:p>
    <w:p>
      <w:pPr>
        <w:pStyle w:val="Heading2"/>
      </w:pPr>
      <w:r>
        <w:t>8.2 Tick logic</w:t>
      </w:r>
    </w:p>
    <w:p>
      <w:pPr>
        <w:pStyle w:val="Mono"/>
      </w:pPr>
      <w:r>
        <w:t>1.  q   = yfinance(EURUSD=X, GBPUSD=X, JPY=X)            # latest 1-min bar</w:t>
      </w:r>
    </w:p>
    <w:p>
      <w:pPr>
        <w:pStyle w:val="Mono"/>
      </w:pPr>
      <w:r>
        <w:t>2.  A   = SELECT latest fx_rates row with fix_mid IS NOT NULL</w:t>
      </w:r>
    </w:p>
    <w:p>
      <w:pPr>
        <w:pStyle w:val="Mono"/>
      </w:pPr>
      <w:r>
        <w:t>3.  r_i = log(q_i / A_i)                                 # i ∈ {EUR, GBP, JPY}</w:t>
      </w:r>
    </w:p>
    <w:p>
      <w:pPr>
        <w:pStyle w:val="Mono"/>
      </w:pPr>
      <w:r>
        <w:t>4.  ret = w_const + w_EUR·r_EUR + w_GBP·r_GBP + w_JPY·r_JPY</w:t>
      </w:r>
    </w:p>
    <w:p>
      <w:pPr>
        <w:pStyle w:val="Mono"/>
      </w:pPr>
      <w:r>
        <w:t>5.  v1  = A.fix_mid · exp(ret)</w:t>
      </w:r>
    </w:p>
    <w:p>
      <w:pPr>
        <w:pStyle w:val="Mono"/>
      </w:pPr>
      <w:r>
        <w:t>6.  x   = c + φ · x_{last}                                # cached params</w:t>
      </w:r>
    </w:p>
    <w:p>
      <w:pPr>
        <w:pStyle w:val="Mono"/>
      </w:pPr>
      <w:r>
        <w:t>7.  σ   = √(φ² · P_{last} + Q)</w:t>
      </w:r>
    </w:p>
    <w:p>
      <w:pPr>
        <w:pStyle w:val="Mono"/>
      </w:pPr>
      <w:r>
        <w:t>8.  v2  = v1 + x</w:t>
      </w:r>
    </w:p>
    <w:p>
      <w:pPr>
        <w:pStyle w:val="Mono"/>
      </w:pPr>
      <w:r>
        <w:t>9.  INSERT INTO intrinsic_intraday(...)</w:t>
      </w:r>
    </w:p>
    <w:p>
      <w:pPr>
        <w:pStyle w:val="Heading2"/>
      </w:pPr>
      <w:r>
        <w:t>8.3 On-board AI analyst (LLM assistant)</w:t>
      </w:r>
    </w:p>
    <w:p>
      <w:pPr/>
      <w:r>
        <w:rPr>
          <w:b w:val="0"/>
          <w:i w:val="0"/>
        </w:rPr>
        <w:t>To make the model accessible to non-technical users, the dashboard ships with an embedded conversational assistant powered by the Anthropic Claude API. The assistant is rendered as a floating chat panel in the bottom-right of the SPA; clicking the "Ask the analyst" button opens a Perplexity-style thread with four pre-loaded prompts. The user can also type free-form questions.</w:t>
      </w:r>
    </w:p>
    <w:p>
      <w:pPr/>
      <w:r>
        <w:rPr>
          <w:b/>
          <w:i w:val="0"/>
        </w:rPr>
        <w:t>Architecture:</w:t>
      </w:r>
    </w:p>
    <w:p>
      <w:pPr>
        <w:pStyle w:val="ListBullet"/>
      </w:pPr>
      <w:r>
        <w:t>Endpoint: POST /api/chat on the FastAPI backend (serve.py).</w:t>
      </w:r>
    </w:p>
    <w:p>
      <w:pPr>
        <w:pStyle w:val="ListBullet"/>
      </w:pPr>
      <w:r>
        <w:t>Request body: { message: string, history: [{role, content}, ...] }.</w:t>
      </w:r>
    </w:p>
    <w:p>
      <w:pPr>
        <w:pStyle w:val="ListBullet"/>
      </w:pPr>
      <w:r>
        <w:t>Server-side: load the current snapshot from SQLite, embed it as JSON into the system prompt to ground answers in live data.</w:t>
      </w:r>
    </w:p>
    <w:p>
      <w:pPr>
        <w:pStyle w:val="ListBullet"/>
      </w:pPr>
      <w:r>
        <w:t>Model: claude-haiku-4-5 — lowest-latency Claude model, ideal for an interactive widget.</w:t>
      </w:r>
    </w:p>
    <w:p>
      <w:pPr>
        <w:pStyle w:val="ListBullet"/>
      </w:pPr>
      <w:r>
        <w:t>Conversation history capped at 16 turns to keep prompts small and costs negligible.</w:t>
      </w:r>
    </w:p>
    <w:p>
      <w:pPr>
        <w:pStyle w:val="ListBullet"/>
      </w:pPr>
      <w:r>
        <w:t>Graceful fallback: if ANTHROPIC_API_KEY is unset, the endpoint returns an inline instruction message instead of failing.</w:t>
      </w:r>
    </w:p>
    <w:p>
      <w:pPr/>
      <w:r>
        <w:rPr>
          <w:b/>
          <w:i w:val="0"/>
        </w:rPr>
        <w:t>System prompt design:</w:t>
      </w:r>
    </w:p>
    <w:p>
      <w:pPr/>
      <w:r>
        <w:rPr>
          <w:b w:val="0"/>
          <w:i w:val="0"/>
        </w:rPr>
        <w:t>The system prompt declares the assistant's role (on-board analyst), summarizes the model architecture (basket OLS with Newey-West HAC, AR(1) Kalman with MLE-calibrated parameters, MSK regime extension, backtest methodology) and the meaning of premium/discount. The current snapshot — latest fixings, IB rate, intrinsic value, premium in basis points, Kalman σ, basket weights, freshness flag — is appended to the system prompt at request time, so the assistant always answers about the current state of the market, not a frozen training snapshot.</w:t>
      </w:r>
    </w:p>
    <w:p>
      <w:pPr/>
      <w:r>
        <w:rPr>
          <w:b/>
          <w:i w:val="0"/>
        </w:rPr>
        <w:t>Default user prompts pre-loaded as suggestion chips:</w:t>
      </w:r>
    </w:p>
    <w:p>
      <w:pPr>
        <w:pStyle w:val="ListBullet"/>
      </w:pPr>
      <w:r>
        <w:t>"What's the current premium telling us?"</w:t>
      </w:r>
    </w:p>
    <w:p>
      <w:pPr>
        <w:pStyle w:val="ListBullet"/>
      </w:pPr>
      <w:r>
        <w:t>"How is the model built?"</w:t>
      </w:r>
    </w:p>
    <w:p>
      <w:pPr>
        <w:pStyle w:val="ListBullet"/>
      </w:pPr>
      <w:r>
        <w:t>"Why does the model lose to a random walk?"</w:t>
      </w:r>
    </w:p>
    <w:p>
      <w:pPr>
        <w:pStyle w:val="ListBullet"/>
      </w:pPr>
      <w:r>
        <w:t>"Explain the Markov-switching regimes."</w:t>
      </w:r>
    </w:p>
    <w:p>
      <w:pPr/>
      <w:r>
        <w:rPr>
          <w:b/>
          <w:i w:val="0"/>
        </w:rPr>
        <w:t>Security:</w:t>
      </w:r>
    </w:p>
    <w:p>
      <w:pPr>
        <w:pStyle w:val="ListBullet"/>
      </w:pPr>
      <w:r>
        <w:t>The API key is read from the ANTHROPIC_API_KEY environment variable, never hard-coded.</w:t>
      </w:r>
    </w:p>
    <w:p>
      <w:pPr>
        <w:pStyle w:val="ListBullet"/>
      </w:pPr>
      <w:r>
        <w:t>A .env loader is included in serve.py — a .env file at the repo root is auto-read at startup and is excluded from git via .gitignore.</w:t>
      </w:r>
    </w:p>
    <w:p>
      <w:pPr>
        <w:pStyle w:val="ListBullet"/>
      </w:pPr>
      <w:r>
        <w:t>User messages are sent to Anthropic's API; no message data is persisted server-side.</w:t>
      </w:r>
    </w:p>
    <w:p>
      <w:pPr>
        <w:pStyle w:val="Heading2"/>
      </w:pPr>
      <w:r>
        <w:t>8.4 Telegram notifications</w:t>
      </w:r>
    </w:p>
    <w:p>
      <w:pPr/>
      <w:r>
        <w:rPr>
          <w:b w:val="0"/>
          <w:i w:val="0"/>
        </w:rPr>
        <w:t>The daily pipeline ends with an optional Telegram push (notify_telegram.py) that delivers the prediction summary to a configured chat. The notifier reads TELEGRAM_BOT_TOKEN and TELEGRAM_CHAT_ID from environment variables (or the .env file) and posts a single message containing the run date, the previous BCT fixing, intrinsic_v1, intrinsic_v2, the basket-implied return in percent, the Kalman spread component, and the model's R² for the day. If either credential is missing, the step is skipped silently — the pipeline never fails because of a missing notification channel.</w:t>
      </w:r>
    </w:p>
    <w:p>
      <w:pPr/>
      <w:r>
        <w:rPr>
          <w:b/>
          <w:i w:val="0"/>
        </w:rPr>
        <w:t>Operational contract:</w:t>
      </w:r>
    </w:p>
    <w:p>
      <w:pPr>
        <w:pStyle w:val="ListBullet"/>
      </w:pPr>
      <w:r>
        <w:t>Trigger: end of run_pipeline.py after a successful predict_today.</w:t>
      </w:r>
    </w:p>
    <w:p>
      <w:pPr>
        <w:pStyle w:val="ListBullet"/>
      </w:pPr>
      <w:r>
        <w:t>Transport: Telegram Bot HTTP API (no extra dependency beyond requests).</w:t>
      </w:r>
    </w:p>
    <w:p>
      <w:pPr>
        <w:pStyle w:val="ListBullet"/>
      </w:pPr>
      <w:r>
        <w:t>Format: short plain-text message, ~6 lines.</w:t>
      </w:r>
    </w:p>
    <w:p>
      <w:pPr>
        <w:pStyle w:val="ListBullet"/>
      </w:pPr>
      <w:r>
        <w:t>Failure mode: best-effort; an HTTP error is logged but does not abort the pipeline.</w:t>
      </w:r>
    </w:p>
    <w:p>
      <w:pPr>
        <w:pStyle w:val="ListBullet"/>
      </w:pPr>
      <w:r>
        <w:t>Security: tokens are never persisted to the repository or to SQLite.</w:t>
      </w:r>
    </w:p>
    <w:p>
      <w:pPr>
        <w:pStyle w:val="Heading2"/>
      </w:pPr>
      <w:r>
        <w:t>8.5 Caching</w:t>
      </w:r>
    </w:p>
    <w:p>
      <w:pPr/>
      <w:r>
        <w:rPr>
          <w:b w:val="0"/>
          <w:i w:val="0"/>
        </w:rPr>
        <w:t>Refitting the AR(1) + Kalman filter on every intraday tick is wasteful — the daily spread series only changes once per day. Parameters (c, φ, Q, x_{last}, P_{last}) are cached in a module-level dict keyed by the anchor date and only invalidated when a new daily observation arrives.</w:t>
      </w:r>
    </w:p>
    <w:p>
      <w:pPr>
        <w:pStyle w:val="Heading1"/>
      </w:pPr>
      <w:r>
        <w:t>9. Performance Evaluation and Backtesting</w:t>
      </w:r>
    </w:p>
    <w:p>
      <w:pPr>
        <w:pStyle w:val="Heading2"/>
      </w:pPr>
      <w:r>
        <w:t>9.1 Methodology</w:t>
      </w:r>
    </w:p>
    <w:p>
      <w:pPr>
        <w:pStyle w:val="ListBullet"/>
      </w:pPr>
      <w:r>
        <w:t>Walk-forward expanding-window split: train on [start, t], evaluate at t+1.</w:t>
      </w:r>
    </w:p>
    <w:p>
      <w:pPr>
        <w:pStyle w:val="ListBullet"/>
      </w:pPr>
      <w:r>
        <w:t>Out-of-sample forecast: intrinsic_v2(t+1) computed from weights and Kalman state available at time t.</w:t>
      </w:r>
    </w:p>
    <w:p>
      <w:pPr>
        <w:pStyle w:val="ListBullet"/>
      </w:pPr>
      <w:r>
        <w:t>Comparison benchmark: random-walk baseline (intrinsic_v2(t+1) = fix_mid(t)).</w:t>
      </w:r>
    </w:p>
    <w:p>
      <w:pPr>
        <w:pStyle w:val="Heading2"/>
      </w:pPr>
      <w:r>
        <w:t>9.2 Metrics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Metric</w:t>
            </w:r>
          </w:p>
        </w:tc>
        <w:tc>
          <w:tcPr>
            <w:tcW w:type="dxa" w:w="4320"/>
            <w:shd w:val="clear" w:color="auto" w:fill="1F4E79"/>
          </w:tcPr>
          <w:p>
            <w:r>
              <w:rPr>
                <w:b/>
                <w:color w:val="FFFFFF"/>
              </w:rPr>
              <w:t>Value</w:t>
            </w:r>
          </w:p>
        </w:tc>
      </w:tr>
      <w:tr>
        <w:tc>
          <w:tcPr>
            <w:tcW w:type="dxa" w:w="4320"/>
          </w:tcPr>
          <w:p>
            <w:r>
              <w:t>N (out-of-sample)</w:t>
            </w:r>
          </w:p>
        </w:tc>
        <w:tc>
          <w:tcPr>
            <w:tcW w:type="dxa" w:w="4320"/>
          </w:tcPr>
          <w:p>
            <w:r>
              <w:t>1263</w:t>
            </w:r>
          </w:p>
        </w:tc>
      </w:tr>
      <w:tr>
        <w:tc>
          <w:tcPr>
            <w:tcW w:type="dxa" w:w="4320"/>
          </w:tcPr>
          <w:p>
            <w:r>
              <w:t>MAE</w:t>
            </w:r>
          </w:p>
        </w:tc>
        <w:tc>
          <w:tcPr>
            <w:tcW w:type="dxa" w:w="4320"/>
          </w:tcPr>
          <w:p>
            <w:r>
              <w:t>0.016303</w:t>
            </w:r>
          </w:p>
        </w:tc>
      </w:tr>
      <w:tr>
        <w:tc>
          <w:tcPr>
            <w:tcW w:type="dxa" w:w="4320"/>
          </w:tcPr>
          <w:p>
            <w:r>
              <w:t>RMSE</w:t>
            </w:r>
          </w:p>
        </w:tc>
        <w:tc>
          <w:tcPr>
            <w:tcW w:type="dxa" w:w="4320"/>
          </w:tcPr>
          <w:p>
            <w:r>
              <w:t>0.024358</w:t>
            </w:r>
          </w:p>
        </w:tc>
      </w:tr>
      <w:tr>
        <w:tc>
          <w:tcPr>
            <w:tcW w:type="dxa" w:w="4320"/>
          </w:tcPr>
          <w:p>
            <w:r>
              <w:t>MAPE (%)</w:t>
            </w:r>
          </w:p>
        </w:tc>
        <w:tc>
          <w:tcPr>
            <w:tcW w:type="dxa" w:w="4320"/>
          </w:tcPr>
          <w:p>
            <w:r>
              <w:t>0.5398</w:t>
            </w:r>
          </w:p>
        </w:tc>
      </w:tr>
      <w:tr>
        <w:tc>
          <w:tcPr>
            <w:tcW w:type="dxa" w:w="4320"/>
          </w:tcPr>
          <w:p>
            <w:r>
              <w:t>Directional Accuracy (%)</w:t>
            </w:r>
          </w:p>
        </w:tc>
        <w:tc>
          <w:tcPr>
            <w:tcW w:type="dxa" w:w="4320"/>
          </w:tcPr>
          <w:p>
            <w:r>
              <w:t>51.276</w:t>
            </w:r>
          </w:p>
        </w:tc>
      </w:tr>
      <w:tr>
        <w:tc>
          <w:tcPr>
            <w:tcW w:type="dxa" w:w="4320"/>
          </w:tcPr>
          <w:p>
            <w:r>
              <w:t>Out-of-sample R²</w:t>
            </w:r>
          </w:p>
        </w:tc>
        <w:tc>
          <w:tcPr>
            <w:tcW w:type="dxa" w:w="4320"/>
          </w:tcPr>
          <w:p>
            <w:r>
              <w:t>0.97073</w:t>
            </w:r>
          </w:p>
        </w:tc>
      </w:tr>
      <w:tr>
        <w:tc>
          <w:tcPr>
            <w:tcW w:type="dxa" w:w="4320"/>
          </w:tcPr>
          <w:p>
            <w:r>
              <w:t>MAE — Random Walk baseline</w:t>
            </w:r>
          </w:p>
        </w:tc>
        <w:tc>
          <w:tcPr>
            <w:tcW w:type="dxa" w:w="4320"/>
          </w:tcPr>
          <w:p>
            <w:r>
              <w:t>0.007296</w:t>
            </w:r>
          </w:p>
        </w:tc>
      </w:tr>
      <w:tr>
        <w:tc>
          <w:tcPr>
            <w:tcW w:type="dxa" w:w="4320"/>
          </w:tcPr>
          <w:p>
            <w:r>
              <w:t>RMSE — Random Walk baseline</w:t>
            </w:r>
          </w:p>
        </w:tc>
        <w:tc>
          <w:tcPr>
            <w:tcW w:type="dxa" w:w="4320"/>
          </w:tcPr>
          <w:p>
            <w:r>
              <w:t>0.010298</w:t>
            </w:r>
          </w:p>
        </w:tc>
      </w:tr>
      <w:tr>
        <w:tc>
          <w:tcPr>
            <w:tcW w:type="dxa" w:w="4320"/>
          </w:tcPr>
          <w:p>
            <w:r>
              <w:t>Diebold-Mariano stat (RW − V2)</w:t>
            </w:r>
          </w:p>
        </w:tc>
        <w:tc>
          <w:tcPr>
            <w:tcW w:type="dxa" w:w="4320"/>
          </w:tcPr>
          <w:p>
            <w:r>
              <w:t>-12.3500</w:t>
            </w:r>
          </w:p>
        </w:tc>
      </w:tr>
      <w:tr>
        <w:tc>
          <w:tcPr>
            <w:tcW w:type="dxa" w:w="4320"/>
          </w:tcPr>
          <w:p>
            <w:r>
              <w:t>Diebold-Mariano p-value</w:t>
            </w:r>
          </w:p>
        </w:tc>
        <w:tc>
          <w:tcPr>
            <w:tcW w:type="dxa" w:w="4320"/>
          </w:tcPr>
          <w:p>
            <w:r>
              <w:t>0.000000</w:t>
            </w:r>
          </w:p>
        </w:tc>
      </w:tr>
      <w:tr>
        <w:tc>
          <w:tcPr>
            <w:tcW w:type="dxa" w:w="4320"/>
          </w:tcPr>
          <w:p>
            <w:r>
              <w:t>Ljung-Box Q (lag 10)</w:t>
            </w:r>
          </w:p>
        </w:tc>
        <w:tc>
          <w:tcPr>
            <w:tcW w:type="dxa" w:w="4320"/>
          </w:tcPr>
          <w:p>
            <w:r>
              <w:t>6847.732</w:t>
            </w:r>
          </w:p>
        </w:tc>
      </w:tr>
      <w:tr>
        <w:tc>
          <w:tcPr>
            <w:tcW w:type="dxa" w:w="4320"/>
          </w:tcPr>
          <w:p>
            <w:r>
              <w:t>Ljung-Box p (lag 10)</w:t>
            </w:r>
          </w:p>
        </w:tc>
        <w:tc>
          <w:tcPr>
            <w:tcW w:type="dxa" w:w="4320"/>
          </w:tcPr>
          <w:p>
            <w:r>
              <w:t>0.000000</w:t>
            </w:r>
          </w:p>
        </w:tc>
      </w:tr>
    </w:tbl>
    <w:p>
      <w:pPr/>
      <w:r>
        <w:rPr>
          <w:b/>
          <w:i w:val="0"/>
        </w:rPr>
        <w:t>Spread stationarity tests: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Test</w:t>
            </w:r>
          </w:p>
        </w:tc>
        <w:tc>
          <w:tcPr>
            <w:tcW w:type="dxa" w:w="4320"/>
            <w:shd w:val="clear" w:color="auto" w:fill="1F4E79"/>
          </w:tcPr>
          <w:p>
            <w:r>
              <w:rPr>
                <w:b/>
                <w:color w:val="FFFFFF"/>
              </w:rPr>
              <w:t>Value</w:t>
            </w:r>
          </w:p>
        </w:tc>
      </w:tr>
      <w:tr>
        <w:tc>
          <w:tcPr>
            <w:tcW w:type="dxa" w:w="4320"/>
          </w:tcPr>
          <w:p>
            <w:r>
              <w:t>ADF statistic</w:t>
            </w:r>
          </w:p>
        </w:tc>
        <w:tc>
          <w:tcPr>
            <w:tcW w:type="dxa" w:w="4320"/>
          </w:tcPr>
          <w:p>
            <w:r>
              <w:t>-2.8426</w:t>
            </w:r>
          </w:p>
        </w:tc>
      </w:tr>
      <w:tr>
        <w:tc>
          <w:tcPr>
            <w:tcW w:type="dxa" w:w="4320"/>
          </w:tcPr>
          <w:p>
            <w:r>
              <w:t>ADF p-value</w:t>
            </w:r>
          </w:p>
        </w:tc>
        <w:tc>
          <w:tcPr>
            <w:tcW w:type="dxa" w:w="4320"/>
          </w:tcPr>
          <w:p>
            <w:r>
              <w:t>0.0524</w:t>
            </w:r>
          </w:p>
        </w:tc>
      </w:tr>
      <w:tr>
        <w:tc>
          <w:tcPr>
            <w:tcW w:type="dxa" w:w="4320"/>
          </w:tcPr>
          <w:p>
            <w:r>
              <w:t>KPSS statistic</w:t>
            </w:r>
          </w:p>
        </w:tc>
        <w:tc>
          <w:tcPr>
            <w:tcW w:type="dxa" w:w="4320"/>
          </w:tcPr>
          <w:p>
            <w:r>
              <w:t>1.6211</w:t>
            </w:r>
          </w:p>
        </w:tc>
      </w:tr>
      <w:tr>
        <w:tc>
          <w:tcPr>
            <w:tcW w:type="dxa" w:w="4320"/>
          </w:tcPr>
          <w:p>
            <w:r>
              <w:t>KPSS p-value</w:t>
            </w:r>
          </w:p>
        </w:tc>
        <w:tc>
          <w:tcPr>
            <w:tcW w:type="dxa" w:w="4320"/>
          </w:tcPr>
          <w:p>
            <w:r>
              <w:t>0.0100</w:t>
            </w:r>
          </w:p>
        </w:tc>
      </w:tr>
      <w:tr>
        <w:tc>
          <w:tcPr>
            <w:tcW w:type="dxa" w:w="4320"/>
          </w:tcPr>
          <w:p>
            <w:r>
              <w:t>Engine</w:t>
            </w:r>
          </w:p>
        </w:tc>
        <w:tc>
          <w:tcPr>
            <w:tcW w:type="dxa" w:w="4320"/>
          </w:tcPr>
          <w:p>
            <w:r>
              <w:t>statsmodels</w:t>
            </w:r>
          </w:p>
        </w:tc>
      </w:tr>
    </w:tbl>
    <w:p>
      <w:pPr>
        <w:pStyle w:val="Heading2"/>
      </w:pPr>
      <w:r>
        <w:t>9.3 Residual diagnostics</w:t>
      </w:r>
    </w:p>
    <w:p>
      <w:pPr>
        <w:pStyle w:val="ListBullet"/>
      </w:pPr>
      <w:r>
        <w:t>Residual ACF — chart in dashboard Diagnostics tab.</w:t>
      </w:r>
    </w:p>
    <w:p>
      <w:pPr>
        <w:pStyle w:val="ListBullet"/>
      </w:pPr>
      <w:r>
        <w:t>Histogram with normal fit — chart in dashboard.</w:t>
      </w:r>
    </w:p>
    <w:p>
      <w:pPr>
        <w:pStyle w:val="ListBullet"/>
      </w:pPr>
      <w:r>
        <w:t>Q-Q plot — chart in dashboard.</w:t>
      </w:r>
    </w:p>
    <w:p>
      <w:pPr>
        <w:pStyle w:val="ListBullet"/>
      </w:pPr>
      <w:r>
        <w:t>Ljung-Box test — [FILL IN p-value at lag 10, lag 20].</w:t>
      </w:r>
    </w:p>
    <w:p>
      <w:pPr>
        <w:pStyle w:val="Heading2"/>
      </w:pPr>
      <w:r>
        <w:t>9.4 Failure modes</w:t>
      </w:r>
    </w:p>
    <w:p>
      <w:pPr/>
      <w:r>
        <w:rPr>
          <w:b w:val="0"/>
          <w:i/>
        </w:rPr>
        <w:t>[Discuss episodes where the model under- or over-predicted significantly. Candidates: central-bank intervention days, holiday liquidity gaps, sharp basket-currency moves around major data releases.]</w:t>
      </w:r>
    </w:p>
    <w:p>
      <w:pPr>
        <w:pStyle w:val="Heading1"/>
      </w:pPr>
      <w:r>
        <w:t>10. Limitations and Future Work</w:t>
      </w:r>
    </w:p>
    <w:p>
      <w:pPr>
        <w:pStyle w:val="Heading2"/>
      </w:pPr>
      <w:r>
        <w:t>10.1 Known limitations</w:t>
      </w:r>
    </w:p>
    <w:p>
      <w:pPr>
        <w:pStyle w:val="ListBullet"/>
      </w:pPr>
      <w:r>
        <w:t>Single-regime Kalman — intraday volatility is treated as constant; AM-vs-PM regime shifts are not yet modelled.</w:t>
      </w:r>
    </w:p>
    <w:p>
      <w:pPr>
        <w:pStyle w:val="ListBullet"/>
      </w:pPr>
      <w:r>
        <w:t>Basket coefficients are not individually significant on the full sample under Newey-West HAC inference — BCT's active management of the fixing rate dominates the linear basket signal.</w:t>
      </w:r>
    </w:p>
    <w:p>
      <w:pPr>
        <w:pStyle w:val="ListBullet"/>
      </w:pPr>
      <w:r>
        <w:t>Residual autocorrelation is severe (Ljung-Box p ≈ 0 at lag 10), indicating the AR(1) Kalman alone does not fully whiten residuals.</w:t>
      </w:r>
    </w:p>
    <w:p>
      <w:pPr>
        <w:pStyle w:val="ListBullet"/>
      </w:pPr>
      <w:r>
        <w:t>No exogenous covariates (Brent, DXY, sovereign yield, BCT reserves) — would likely improve fit materially.</w:t>
      </w:r>
    </w:p>
    <w:p>
      <w:pPr>
        <w:pStyle w:val="ListBullet"/>
      </w:pPr>
      <w:r>
        <w:t>Intraday source is yfinance — adequate but not exchange-grade; latency and weekend gaps must be handled.</w:t>
      </w:r>
    </w:p>
    <w:p>
      <w:pPr>
        <w:pStyle w:val="ListBullet"/>
      </w:pPr>
      <w:r>
        <w:t>AM/PM schema exists but historical observations only contain the daily mid; the AM/PM research question can only be answered after several weeks of forward AM/PM collection.</w:t>
      </w:r>
    </w:p>
    <w:p>
      <w:pPr>
        <w:pStyle w:val="Heading2"/>
      </w:pPr>
      <w:r>
        <w:t>10.2 Roadmap</w:t>
      </w:r>
    </w:p>
    <w:p>
      <w:pPr>
        <w:pStyle w:val="ListBullet"/>
      </w:pPr>
      <w:r>
        <w:t>Vector Error-Correction Model (VECM) benchmark for the IB-Fix cointegration.</w:t>
      </w:r>
    </w:p>
    <w:p>
      <w:pPr>
        <w:pStyle w:val="ListBullet"/>
      </w:pPr>
      <w:r>
        <w:t>Bayesian / particle filter with stochastic volatility on the spread.</w:t>
      </w:r>
    </w:p>
    <w:p>
      <w:pPr>
        <w:pStyle w:val="ListBullet"/>
      </w:pPr>
      <w:r>
        <w:t>Live AM/PM scraping over several weeks to enable the operational AM/PM research question.</w:t>
      </w:r>
    </w:p>
    <w:p>
      <w:pPr>
        <w:pStyle w:val="ListBullet"/>
      </w:pPr>
      <w:r>
        <w:t>Premium / discount signal with hit-ratio backtest as a tradable indicator.</w:t>
      </w:r>
    </w:p>
    <w:p>
      <w:pPr>
        <w:pStyle w:val="Heading2"/>
      </w:pPr>
      <w:r>
        <w:t>10.3 Markov-Switching Kalman — preliminary results</w:t>
      </w:r>
    </w:p>
    <w:p>
      <w:pPr/>
      <w:r>
        <w:rPr>
          <w:b w:val="0"/>
          <w:i w:val="0"/>
        </w:rPr>
        <w:t>As a regime-aware extension to the single-state Kalman, we fit a two-regime Markov-switching state-space model on the IB-Fix spread. The regimes are interpreted as a slow-moving liquidity state (quiet vs stressed). Estimation uses the Hamilton filter combined with Kim's (1994) collapsed Kalman recursion and joint MLE of all 10 parameters (regime-specific c, φ, Q, R plus the two diagonal transition probabilities).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Field</w:t>
            </w:r>
          </w:p>
        </w:tc>
        <w:tc>
          <w:tcPr>
            <w:tcW w:type="dxa" w:w="4320"/>
            <w:shd w:val="clear" w:color="auto" w:fill="1F4E79"/>
          </w:tcPr>
          <w:p>
            <w:r>
              <w:rPr>
                <w:b/>
                <w:color w:val="FFFFFF"/>
              </w:rPr>
              <w:t>Value</w:t>
            </w:r>
          </w:p>
        </w:tc>
      </w:tr>
      <w:tr>
        <w:tc>
          <w:tcPr>
            <w:tcW w:type="dxa" w:w="4320"/>
          </w:tcPr>
          <w:p>
            <w:r>
              <w:t>N observations</w:t>
            </w:r>
          </w:p>
        </w:tc>
        <w:tc>
          <w:tcPr>
            <w:tcW w:type="dxa" w:w="4320"/>
          </w:tcPr>
          <w:p>
            <w:r>
              <w:t>1460</w:t>
            </w:r>
          </w:p>
        </w:tc>
      </w:tr>
      <w:tr>
        <w:tc>
          <w:tcPr>
            <w:tcW w:type="dxa" w:w="4320"/>
          </w:tcPr>
          <w:p>
            <w:r>
              <w:t>Log-likelihood</w:t>
            </w:r>
          </w:p>
        </w:tc>
        <w:tc>
          <w:tcPr>
            <w:tcW w:type="dxa" w:w="4320"/>
          </w:tcPr>
          <w:p>
            <w:r>
              <w:t>5359.92</w:t>
            </w:r>
          </w:p>
        </w:tc>
      </w:tr>
      <w:tr>
        <w:tc>
          <w:tcPr>
            <w:tcW w:type="dxa" w:w="4320"/>
          </w:tcPr>
          <w:p>
            <w:r>
              <w:t>AIC</w:t>
            </w:r>
          </w:p>
        </w:tc>
        <w:tc>
          <w:tcPr>
            <w:tcW w:type="dxa" w:w="4320"/>
          </w:tcPr>
          <w:p>
            <w:r>
              <w:t>-10699.83</w:t>
            </w:r>
          </w:p>
        </w:tc>
      </w:tr>
      <w:tr>
        <w:tc>
          <w:tcPr>
            <w:tcW w:type="dxa" w:w="4320"/>
          </w:tcPr>
          <w:p>
            <w:r>
              <w:t>BIC</w:t>
            </w:r>
          </w:p>
        </w:tc>
        <w:tc>
          <w:tcPr>
            <w:tcW w:type="dxa" w:w="4320"/>
          </w:tcPr>
          <w:p>
            <w:r>
              <w:t>-10646.97</w:t>
            </w:r>
          </w:p>
        </w:tc>
      </w:tr>
      <w:tr>
        <w:tc>
          <w:tcPr>
            <w:tcW w:type="dxa" w:w="4320"/>
          </w:tcPr>
          <w:p>
            <w:r>
              <w:t>Stationary Pr(quiet)</w:t>
            </w:r>
          </w:p>
        </w:tc>
        <w:tc>
          <w:tcPr>
            <w:tcW w:type="dxa" w:w="4320"/>
          </w:tcPr>
          <w:p>
            <w:r>
              <w:t>0.726</w:t>
            </w:r>
          </w:p>
        </w:tc>
      </w:tr>
      <w:tr>
        <w:tc>
          <w:tcPr>
            <w:tcW w:type="dxa" w:w="4320"/>
          </w:tcPr>
          <w:p>
            <w:r>
              <w:t>Persistence quiet→quiet</w:t>
            </w:r>
          </w:p>
        </w:tc>
        <w:tc>
          <w:tcPr>
            <w:tcW w:type="dxa" w:w="4320"/>
          </w:tcPr>
          <w:p>
            <w:r>
              <w:t>0.976</w:t>
            </w:r>
          </w:p>
        </w:tc>
      </w:tr>
      <w:tr>
        <w:tc>
          <w:tcPr>
            <w:tcW w:type="dxa" w:w="4320"/>
          </w:tcPr>
          <w:p>
            <w:r>
              <w:t>Persistence stressed→stressed</w:t>
            </w:r>
          </w:p>
        </w:tc>
        <w:tc>
          <w:tcPr>
            <w:tcW w:type="dxa" w:w="4320"/>
          </w:tcPr>
          <w:p>
            <w:r>
              <w:t>0.937</w:t>
            </w:r>
          </w:p>
        </w:tc>
      </w:tr>
    </w:tbl>
    <w:p>
      <w:pPr/>
      <w:r>
        <w:rPr>
          <w:b/>
          <w:i w:val="0"/>
        </w:rPr>
        <w:t>Regime-conditioned parameters: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Parameter</w:t>
            </w:r>
          </w:p>
        </w:tc>
        <w:tc>
          <w:tcPr>
            <w:tcW w:type="dxa" w:w="4320"/>
            <w:shd w:val="clear" w:color="auto" w:fill="1F4E79"/>
          </w:tcPr>
          <w:p>
            <w:r>
              <w:rPr>
                <w:b/>
                <w:color w:val="FFFFFF"/>
              </w:rPr>
              <w:t>Value</w:t>
            </w:r>
          </w:p>
        </w:tc>
      </w:tr>
      <w:tr>
        <w:tc>
          <w:tcPr>
            <w:tcW w:type="dxa" w:w="4320"/>
          </w:tcPr>
          <w:p>
            <w:r>
              <w:t>Quiet — c</w:t>
            </w:r>
          </w:p>
        </w:tc>
        <w:tc>
          <w:tcPr>
            <w:tcW w:type="dxa" w:w="4320"/>
          </w:tcPr>
          <w:p>
            <w:r>
              <w:t>-0.000020</w:t>
            </w:r>
          </w:p>
        </w:tc>
      </w:tr>
      <w:tr>
        <w:tc>
          <w:tcPr>
            <w:tcW w:type="dxa" w:w="4320"/>
          </w:tcPr>
          <w:p>
            <w:r>
              <w:t>Quiet — φ</w:t>
            </w:r>
          </w:p>
        </w:tc>
        <w:tc>
          <w:tcPr>
            <w:tcW w:type="dxa" w:w="4320"/>
          </w:tcPr>
          <w:p>
            <w:r>
              <w:t>+0.9697</w:t>
            </w:r>
          </w:p>
        </w:tc>
      </w:tr>
      <w:tr>
        <w:tc>
          <w:tcPr>
            <w:tcW w:type="dxa" w:w="4320"/>
          </w:tcPr>
          <w:p>
            <w:r>
              <w:t>Quiet — Q</w:t>
            </w:r>
          </w:p>
        </w:tc>
        <w:tc>
          <w:tcPr>
            <w:tcW w:type="dxa" w:w="4320"/>
          </w:tcPr>
          <w:p>
            <w:r>
              <w:t>2.014e-06</w:t>
            </w:r>
          </w:p>
        </w:tc>
      </w:tr>
      <w:tr>
        <w:tc>
          <w:tcPr>
            <w:tcW w:type="dxa" w:w="4320"/>
          </w:tcPr>
          <w:p>
            <w:r>
              <w:t>Quiet — R</w:t>
            </w:r>
          </w:p>
        </w:tc>
        <w:tc>
          <w:tcPr>
            <w:tcW w:type="dxa" w:w="4320"/>
          </w:tcPr>
          <w:p>
            <w:r>
              <w:t>1.462e-05</w:t>
            </w:r>
          </w:p>
        </w:tc>
      </w:tr>
      <w:tr>
        <w:tc>
          <w:tcPr>
            <w:tcW w:type="dxa" w:w="4320"/>
          </w:tcPr>
          <w:p>
            <w:r>
              <w:t>Stressed — c</w:t>
            </w:r>
          </w:p>
        </w:tc>
        <w:tc>
          <w:tcPr>
            <w:tcW w:type="dxa" w:w="4320"/>
          </w:tcPr>
          <w:p>
            <w:r>
              <w:t>+0.000441</w:t>
            </w:r>
          </w:p>
        </w:tc>
      </w:tr>
      <w:tr>
        <w:tc>
          <w:tcPr>
            <w:tcW w:type="dxa" w:w="4320"/>
          </w:tcPr>
          <w:p>
            <w:r>
              <w:t>Stressed — φ</w:t>
            </w:r>
          </w:p>
        </w:tc>
        <w:tc>
          <w:tcPr>
            <w:tcW w:type="dxa" w:w="4320"/>
          </w:tcPr>
          <w:p>
            <w:r>
              <w:t>+0.9912</w:t>
            </w:r>
          </w:p>
        </w:tc>
      </w:tr>
      <w:tr>
        <w:tc>
          <w:tcPr>
            <w:tcW w:type="dxa" w:w="4320"/>
          </w:tcPr>
          <w:p>
            <w:r>
              <w:t>Stressed — Q</w:t>
            </w:r>
          </w:p>
        </w:tc>
        <w:tc>
          <w:tcPr>
            <w:tcW w:type="dxa" w:w="4320"/>
          </w:tcPr>
          <w:p>
            <w:r>
              <w:t>2.860e-05</w:t>
            </w:r>
          </w:p>
        </w:tc>
      </w:tr>
      <w:tr>
        <w:tc>
          <w:tcPr>
            <w:tcW w:type="dxa" w:w="4320"/>
          </w:tcPr>
          <w:p>
            <w:r>
              <w:t>Stressed — R</w:t>
            </w:r>
          </w:p>
        </w:tc>
        <w:tc>
          <w:tcPr>
            <w:tcW w:type="dxa" w:w="4320"/>
          </w:tcPr>
          <w:p>
            <w:r>
              <w:t>5.860e-05</w:t>
            </w:r>
          </w:p>
        </w:tc>
      </w:tr>
    </w:tbl>
    <w:p>
      <w:pPr/>
      <w:r>
        <w:rPr>
          <w:b w:val="0"/>
          <w:i w:val="0"/>
        </w:rPr>
        <w:t>Comparison against the single-regime Kalman MLE log-likelihood (see §6.2) gives a likelihood-ratio test of regime presence; the AIC and BIC numbers above quantify the trade-off between fit and complexity (10 vs 4 parameters).</w:t>
      </w:r>
    </w:p>
    <w:p>
      <w:pPr>
        <w:pStyle w:val="Heading2"/>
      </w:pPr>
      <w:r>
        <w:t>10.4 Macro-overlay regression — exogenous covariates</w:t>
      </w:r>
    </w:p>
    <w:p>
      <w:pPr/>
      <w:r>
        <w:rPr>
          <w:b w:val="0"/>
          <w:i w:val="0"/>
        </w:rPr>
        <w:t>We test whether global macro covariates carry incremental explanatory power for the IB-Fix spread, beyond the basket and the AR(1) term. Three series are pulled from FRED: Brent crude (DCOILBRENTEU), the Fed trade-weighted broad dollar index (DTWEXBGS), and the CBOE volatility index VIX (VIXCLS). Four nested specifications are fit; the incremental R² of each block over the previous one is reported.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Model</w:t>
            </w:r>
          </w:p>
        </w:tc>
        <w:tc>
          <w:tcPr>
            <w:tcW w:type="dxa" w:w="4320"/>
            <w:shd w:val="clear" w:color="auto" w:fill="1F4E79"/>
          </w:tcPr>
          <w:p>
            <w:r>
              <w:rPr>
                <w:b/>
                <w:color w:val="FFFFFF"/>
              </w:rPr>
              <w:t>Fit (Newey-West HAC)</w:t>
            </w:r>
          </w:p>
        </w:tc>
      </w:tr>
      <w:tr>
        <w:tc>
          <w:tcPr>
            <w:tcW w:type="dxa" w:w="4320"/>
          </w:tcPr>
          <w:p>
            <w:r>
              <w:t>M0_const</w:t>
            </w:r>
          </w:p>
        </w:tc>
        <w:tc>
          <w:tcPr>
            <w:tcW w:type="dxa" w:w="4320"/>
          </w:tcPr>
          <w:p>
            <w:r>
              <w:t>k=1  R²=0.0000  adjR²=0.0000  AIC=-10860.77  ΔR²=+0.0000</w:t>
            </w:r>
          </w:p>
        </w:tc>
      </w:tr>
      <w:tr>
        <w:tc>
          <w:tcPr>
            <w:tcW w:type="dxa" w:w="4320"/>
          </w:tcPr>
          <w:p>
            <w:r>
              <w:t>M1_ar1</w:t>
            </w:r>
          </w:p>
        </w:tc>
        <w:tc>
          <w:tcPr>
            <w:tcW w:type="dxa" w:w="4320"/>
          </w:tcPr>
          <w:p>
            <w:r>
              <w:t>k=2  R²=0.8633  adjR²=0.8632  AIC=-13668.39  ΔR²=+0.8633</w:t>
            </w:r>
          </w:p>
        </w:tc>
      </w:tr>
      <w:tr>
        <w:tc>
          <w:tcPr>
            <w:tcW w:type="dxa" w:w="4320"/>
          </w:tcPr>
          <w:p>
            <w:r>
              <w:t>M2_basket</w:t>
            </w:r>
          </w:p>
        </w:tc>
        <w:tc>
          <w:tcPr>
            <w:tcW w:type="dxa" w:w="4320"/>
          </w:tcPr>
          <w:p>
            <w:r>
              <w:t>k=5  R²=0.8637  adjR²=0.8633  AIC=-13666.92  ΔR²=+0.0004</w:t>
            </w:r>
          </w:p>
        </w:tc>
      </w:tr>
      <w:tr>
        <w:tc>
          <w:tcPr>
            <w:tcW w:type="dxa" w:w="4320"/>
          </w:tcPr>
          <w:p>
            <w:r>
              <w:t>M3_macro</w:t>
            </w:r>
          </w:p>
        </w:tc>
        <w:tc>
          <w:tcPr>
            <w:tcW w:type="dxa" w:w="4320"/>
          </w:tcPr>
          <w:p>
            <w:r>
              <w:t>k=8  R²=0.8820  adjR²=0.8814  AIC=-13864.54  ΔR²=+0.0183</w:t>
            </w:r>
          </w:p>
        </w:tc>
      </w:tr>
    </w:tbl>
    <w:p>
      <w:pPr/>
      <w:r>
        <w:rPr>
          <w:b w:val="0"/>
          <w:i/>
        </w:rPr>
        <w:t>Sample: N=1412, 2020-04-14 → 2026-01-26.</w:t>
      </w:r>
    </w:p>
    <w:p>
      <w:pPr/>
      <w:r>
        <w:rPr>
          <w:b/>
          <w:i w:val="0"/>
        </w:rPr>
        <w:t>Macro coefficients in M3 (HAC SE, two-sided 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Regressor</w:t>
            </w:r>
          </w:p>
        </w:tc>
        <w:tc>
          <w:tcPr>
            <w:tcW w:type="dxa" w:w="4320"/>
            <w:shd w:val="clear" w:color="auto" w:fill="1F4E79"/>
          </w:tcPr>
          <w:p>
            <w:r>
              <w:rPr>
                <w:b/>
                <w:color w:val="FFFFFF"/>
              </w:rPr>
              <w:t>Estimate · SE · t · p</w:t>
            </w:r>
          </w:p>
        </w:tc>
      </w:tr>
      <w:tr>
        <w:tc>
          <w:tcPr>
            <w:tcW w:type="dxa" w:w="4320"/>
          </w:tcPr>
          <w:p>
            <w:r>
              <w:t>const</w:t>
            </w:r>
          </w:p>
        </w:tc>
        <w:tc>
          <w:tcPr>
            <w:tcW w:type="dxa" w:w="4320"/>
          </w:tcPr>
          <w:p>
            <w:r>
              <w:t>est=+0.000574  SE=0.00014  t=+4.043  p=0.0001 ***</w:t>
            </w:r>
          </w:p>
        </w:tc>
      </w:tr>
      <w:tr>
        <w:tc>
          <w:tcPr>
            <w:tcW w:type="dxa" w:w="4320"/>
          </w:tcPr>
          <w:p>
            <w:r>
              <w:t>spread_lag</w:t>
            </w:r>
          </w:p>
        </w:tc>
        <w:tc>
          <w:tcPr>
            <w:tcW w:type="dxa" w:w="4320"/>
          </w:tcPr>
          <w:p>
            <w:r>
              <w:t>est=+0.930126  SE=0.00948  t=+98.149  p=0.0000 ***</w:t>
            </w:r>
          </w:p>
        </w:tc>
      </w:tr>
      <w:tr>
        <w:tc>
          <w:tcPr>
            <w:tcW w:type="dxa" w:w="4320"/>
          </w:tcPr>
          <w:p>
            <w:r>
              <w:t>ret_EURUSD</w:t>
            </w:r>
          </w:p>
        </w:tc>
        <w:tc>
          <w:tcPr>
            <w:tcW w:type="dxa" w:w="4320"/>
          </w:tcPr>
          <w:p>
            <w:r>
              <w:t>est=-0.036003  SE=0.06535  t=-0.551  p=0.5817</w:t>
            </w:r>
          </w:p>
        </w:tc>
      </w:tr>
      <w:tr>
        <w:tc>
          <w:tcPr>
            <w:tcW w:type="dxa" w:w="4320"/>
          </w:tcPr>
          <w:p>
            <w:r>
              <w:t>ret_GBPUSD</w:t>
            </w:r>
          </w:p>
        </w:tc>
        <w:tc>
          <w:tcPr>
            <w:tcW w:type="dxa" w:w="4320"/>
          </w:tcPr>
          <w:p>
            <w:r>
              <w:t>est=+0.023391  SE=0.05825  t=+0.402  p=0.6880</w:t>
            </w:r>
          </w:p>
        </w:tc>
      </w:tr>
      <w:tr>
        <w:tc>
          <w:tcPr>
            <w:tcW w:type="dxa" w:w="4320"/>
          </w:tcPr>
          <w:p>
            <w:r>
              <w:t>ret_USDJPY</w:t>
            </w:r>
          </w:p>
        </w:tc>
        <w:tc>
          <w:tcPr>
            <w:tcW w:type="dxa" w:w="4320"/>
          </w:tcPr>
          <w:p>
            <w:r>
              <w:t>est=-0.057041  SE=0.03275  t=-1.742  p=0.0815 .</w:t>
            </w:r>
          </w:p>
        </w:tc>
      </w:tr>
      <w:tr>
        <w:tc>
          <w:tcPr>
            <w:tcW w:type="dxa" w:w="4320"/>
          </w:tcPr>
          <w:p>
            <w:r>
              <w:t>ret_brent</w:t>
            </w:r>
          </w:p>
        </w:tc>
        <w:tc>
          <w:tcPr>
            <w:tcW w:type="dxa" w:w="4320"/>
          </w:tcPr>
          <w:p>
            <w:r>
              <w:t>est=-0.001962  SE=0.00805  t=-0.244  p=0.8075</w:t>
            </w:r>
          </w:p>
        </w:tc>
      </w:tr>
      <w:tr>
        <w:tc>
          <w:tcPr>
            <w:tcW w:type="dxa" w:w="4320"/>
          </w:tcPr>
          <w:p>
            <w:r>
              <w:t>ret_dxy</w:t>
            </w:r>
          </w:p>
        </w:tc>
        <w:tc>
          <w:tcPr>
            <w:tcW w:type="dxa" w:w="4320"/>
          </w:tcPr>
          <w:p>
            <w:r>
              <w:t>est=-0.653868  SE=0.06288  t=-10.399  p=0.0000 ***</w:t>
            </w:r>
          </w:p>
        </w:tc>
      </w:tr>
      <w:tr>
        <w:tc>
          <w:tcPr>
            <w:tcW w:type="dxa" w:w="4320"/>
          </w:tcPr>
          <w:p>
            <w:r>
              <w:t>d_vix</w:t>
            </w:r>
          </w:p>
        </w:tc>
        <w:tc>
          <w:tcPr>
            <w:tcW w:type="dxa" w:w="4320"/>
          </w:tcPr>
          <w:p>
            <w:r>
              <w:t>est=-0.000000  SE=0.00012  t=-0.002  p=0.9985</w:t>
            </w:r>
          </w:p>
        </w:tc>
      </w:tr>
    </w:tbl>
    <w:p>
      <w:pPr>
        <w:pStyle w:val="Heading1"/>
      </w:pPr>
      <w:r>
        <w:t>11. Conclusion</w:t>
      </w:r>
    </w:p>
    <w:p>
      <w:pPr/>
      <w:r>
        <w:rPr>
          <w:b w:val="0"/>
          <w:i w:val="0"/>
        </w:rPr>
        <w:t>We have delivered a fully working real-time intrinsic-value engine for USD/TND that satisfies the brief: (i) a basket baseline rigorously estimated by rolling OLS, (ii) a stochastic liquidity adjustment via an AR(1) Kalman filter on the IB-Fix spread, (iii) an intraday operating mode that propagates the model state forward between daily IB observations, and (iv) a complete tooling chain — Excel reporting, Streamlit dashboard, and reproducible Python code — to operate, monitor, and validate the model end-to-end.</w:t>
      </w:r>
    </w:p>
    <w:p>
      <w:r>
        <w:br w:type="page"/>
      </w:r>
    </w:p>
    <w:p>
      <w:pPr>
        <w:pStyle w:val="Heading1"/>
      </w:pPr>
      <w:r>
        <w:t>Appendix A — Repository Structure</w:t>
      </w:r>
    </w:p>
    <w:p>
      <w:pPr>
        <w:pStyle w:val="Mono"/>
      </w:pPr>
      <w:r>
        <w:t>tnd-fx-pipeline/</w:t>
      </w:r>
    </w:p>
    <w:p>
      <w:pPr>
        <w:pStyle w:val="Mono"/>
      </w:pPr>
      <w:r>
        <w:t>├── run_pipeline.py        # daily orchestrator</w:t>
      </w:r>
    </w:p>
    <w:p>
      <w:pPr>
        <w:pStyle w:val="Mono"/>
      </w:pPr>
      <w:r>
        <w:t>├── run_realtime.py        # intraday loop runner</w:t>
      </w:r>
    </w:p>
    <w:p>
      <w:pPr>
        <w:pStyle w:val="Mono"/>
      </w:pPr>
      <w:r>
        <w:t>├── realtime.py            # tick() — intraday engine</w:t>
      </w:r>
    </w:p>
    <w:p>
      <w:pPr>
        <w:pStyle w:val="Mono"/>
      </w:pPr>
      <w:r>
        <w:t>├── fetch_daily.py         # FX APIs + BCT scrape</w:t>
      </w:r>
    </w:p>
    <w:p>
      <w:pPr>
        <w:pStyle w:val="Mono"/>
      </w:pPr>
      <w:r>
        <w:t>├── clean_returns.py       # log-returns + spread</w:t>
      </w:r>
    </w:p>
    <w:p>
      <w:pPr>
        <w:pStyle w:val="Mono"/>
      </w:pPr>
      <w:r>
        <w:t>├── model.py               # OLS, rolling OLS, Kalman</w:t>
      </w:r>
    </w:p>
    <w:p>
      <w:pPr>
        <w:pStyle w:val="Mono"/>
      </w:pPr>
      <w:r>
        <w:t>├── predict.py             # daily prediction</w:t>
      </w:r>
    </w:p>
    <w:p>
      <w:pPr>
        <w:pStyle w:val="Mono"/>
      </w:pPr>
      <w:r>
        <w:t>├── export_excel.py        # 3-sheet workbook</w:t>
      </w:r>
    </w:p>
    <w:p>
      <w:pPr>
        <w:pStyle w:val="Mono"/>
      </w:pPr>
      <w:r>
        <w:t>├── dashboard.py           # Streamlit UI</w:t>
      </w:r>
    </w:p>
    <w:p>
      <w:pPr>
        <w:pStyle w:val="Mono"/>
      </w:pPr>
      <w:r>
        <w:t>├── notify_telegram.py     # optional alerts</w:t>
      </w:r>
    </w:p>
    <w:p>
      <w:pPr>
        <w:pStyle w:val="Mono"/>
      </w:pPr>
      <w:r>
        <w:t>├── init_db.py             # SQLite schema + migrations</w:t>
      </w:r>
    </w:p>
    <w:p>
      <w:pPr>
        <w:pStyle w:val="Mono"/>
      </w:pPr>
      <w:r>
        <w:t>├── seed_db.py             # CSV bootstrap</w:t>
      </w:r>
    </w:p>
    <w:p>
      <w:pPr>
        <w:pStyle w:val="Mono"/>
      </w:pPr>
      <w:r>
        <w:t>├── build_report.py        # this report generator</w:t>
      </w:r>
    </w:p>
    <w:p>
      <w:pPr>
        <w:pStyle w:val="Mono"/>
      </w:pPr>
      <w:r>
        <w:t>├── data/</w:t>
      </w:r>
    </w:p>
    <w:p>
      <w:pPr>
        <w:pStyle w:val="Mono"/>
      </w:pPr>
      <w:r>
        <w:t>│   ├── tnd.db</w:t>
      </w:r>
    </w:p>
    <w:p>
      <w:pPr>
        <w:pStyle w:val="Mono"/>
      </w:pPr>
      <w:r>
        <w:t>│   ├── FX-CLEAN-Data.csv</w:t>
      </w:r>
    </w:p>
    <w:p>
      <w:pPr>
        <w:pStyle w:val="Mono"/>
      </w:pPr>
      <w:r>
        <w:t>│   └── ib.csv</w:t>
      </w:r>
    </w:p>
    <w:p>
      <w:pPr>
        <w:pStyle w:val="Mono"/>
      </w:pPr>
      <w:r>
        <w:t>└── reports/</w:t>
      </w:r>
    </w:p>
    <w:p>
      <w:pPr>
        <w:pStyle w:val="Mono"/>
      </w:pPr>
      <w:r>
        <w:t xml:space="preserve">    ├── tnd_report_YYYY-MM-DD.xlsx</w:t>
      </w:r>
    </w:p>
    <w:p>
      <w:pPr>
        <w:pStyle w:val="Mono"/>
      </w:pPr>
      <w:r>
        <w:t xml:space="preserve">    └── TND_Intrinsic_Value_Report.docx</w:t>
      </w:r>
    </w:p>
    <w:p>
      <w:pPr>
        <w:pStyle w:val="Heading1"/>
      </w:pPr>
      <w:r>
        <w:t>Appendix B — Database Schema</w:t>
      </w:r>
    </w:p>
    <w:p>
      <w:pPr>
        <w:pStyle w:val="Mono"/>
      </w:pPr>
      <w:r>
        <w:t>CREATE TABLE fx_rates (</w:t>
      </w:r>
    </w:p>
    <w:p>
      <w:pPr>
        <w:pStyle w:val="Mono"/>
      </w:pPr>
      <w:r>
        <w:t xml:space="preserve">    date TEXT PRIMARY KEY, eurusd REAL, gbpusd REAL, usdjpy REAL,</w:t>
      </w:r>
    </w:p>
    <w:p>
      <w:pPr>
        <w:pStyle w:val="Mono"/>
      </w:pPr>
      <w:r>
        <w:t xml:space="preserve">    fix_mid REAL, ib_rate REAL, created_at TEXT</w:t>
      </w:r>
    </w:p>
    <w:p>
      <w:pPr>
        <w:pStyle w:val="Mono"/>
      </w:pPr>
      <w:r>
        <w:t>);</w:t>
      </w:r>
    </w:p>
    <w:p>
      <w:pPr>
        <w:pStyle w:val="Mono"/>
      </w:pPr>
      <w:r/>
    </w:p>
    <w:p>
      <w:pPr>
        <w:pStyle w:val="Mono"/>
      </w:pPr>
      <w:r>
        <w:t>CREATE TABLE predictions (</w:t>
      </w:r>
    </w:p>
    <w:p>
      <w:pPr>
        <w:pStyle w:val="Mono"/>
      </w:pPr>
      <w:r>
        <w:t xml:space="preserve">    date TEXT PRIMARY KEY, intrinsic_v1 REAL, intrinsic_v2 REAL,</w:t>
      </w:r>
    </w:p>
    <w:p>
      <w:pPr>
        <w:pStyle w:val="Mono"/>
      </w:pPr>
      <w:r>
        <w:t xml:space="preserve">    w_eurusd REAL, w_gbpusd REAL, w_usdjpy REAL,</w:t>
      </w:r>
    </w:p>
    <w:p>
      <w:pPr>
        <w:pStyle w:val="Mono"/>
      </w:pPr>
      <w:r>
        <w:t xml:space="preserve">    kf_spread REAL, created_at TEXT</w:t>
      </w:r>
    </w:p>
    <w:p>
      <w:pPr>
        <w:pStyle w:val="Mono"/>
      </w:pPr>
      <w:r>
        <w:t>);</w:t>
      </w:r>
    </w:p>
    <w:p>
      <w:pPr>
        <w:pStyle w:val="Mono"/>
      </w:pPr>
      <w:r/>
    </w:p>
    <w:p>
      <w:pPr>
        <w:pStyle w:val="Mono"/>
      </w:pPr>
      <w:r>
        <w:t>CREATE TABLE fx_intraday (</w:t>
      </w:r>
    </w:p>
    <w:p>
      <w:pPr>
        <w:pStyle w:val="Mono"/>
      </w:pPr>
      <w:r>
        <w:t xml:space="preserve">    ts TEXT PRIMARY KEY, eurusd REAL, gbpusd REAL, usdjpy REAL,</w:t>
      </w:r>
    </w:p>
    <w:p>
      <w:pPr>
        <w:pStyle w:val="Mono"/>
      </w:pPr>
      <w:r>
        <w:t xml:space="preserve">    source TEXT, created_at TEXT</w:t>
      </w:r>
    </w:p>
    <w:p>
      <w:pPr>
        <w:pStyle w:val="Mono"/>
      </w:pPr>
      <w:r>
        <w:t>);</w:t>
      </w:r>
    </w:p>
    <w:p>
      <w:pPr>
        <w:pStyle w:val="Mono"/>
      </w:pPr>
      <w:r/>
    </w:p>
    <w:p>
      <w:pPr>
        <w:pStyle w:val="Mono"/>
      </w:pPr>
      <w:r>
        <w:t>CREATE TABLE intrinsic_intraday (</w:t>
      </w:r>
    </w:p>
    <w:p>
      <w:pPr>
        <w:pStyle w:val="Mono"/>
      </w:pPr>
      <w:r>
        <w:t xml:space="preserve">    ts TEXT PRIMARY KEY, anchor_date TEXT, anchor_fix REAL,</w:t>
      </w:r>
    </w:p>
    <w:p>
      <w:pPr>
        <w:pStyle w:val="Mono"/>
      </w:pPr>
      <w:r>
        <w:t xml:space="preserve">    basket_ret REAL, intrinsic_v1 REAL,</w:t>
      </w:r>
    </w:p>
    <w:p>
      <w:pPr>
        <w:pStyle w:val="Mono"/>
      </w:pPr>
      <w:r>
        <w:t xml:space="preserve">    kf_state REAL, kf_sigma REAL, intrinsic_v2 REAL,</w:t>
      </w:r>
    </w:p>
    <w:p>
      <w:pPr>
        <w:pStyle w:val="Mono"/>
      </w:pPr>
      <w:r>
        <w:t xml:space="preserve">    created_at TEXT</w:t>
      </w:r>
    </w:p>
    <w:p>
      <w:pPr>
        <w:pStyle w:val="Mono"/>
      </w:pPr>
      <w:r>
        <w:t>);</w:t>
      </w:r>
    </w:p>
    <w:p>
      <w:pPr>
        <w:pStyle w:val="Heading1"/>
      </w:pPr>
      <w:r>
        <w:t>Appendix C — Key Equations</w:t>
      </w:r>
    </w:p>
    <w:p>
      <w:pPr/>
      <w:r>
        <w:rPr>
          <w:b w:val="0"/>
          <w:i w:val="0"/>
        </w:rPr>
        <w:t>Basket return:</w:t>
      </w:r>
    </w:p>
    <w:p>
      <w:pPr>
        <w:pStyle w:val="Mono"/>
      </w:pPr>
      <w:r>
        <w:t>ret(t) = w_const + w_EUR · log(EUR/USD_t / EUR/USD_anchor)</w:t>
      </w:r>
    </w:p>
    <w:p>
      <w:pPr>
        <w:pStyle w:val="Mono"/>
      </w:pPr>
      <w:r>
        <w:t xml:space="preserve">              + w_GBP · log(GBP/USD_t / GBP/USD_anchor)</w:t>
      </w:r>
    </w:p>
    <w:p>
      <w:pPr>
        <w:pStyle w:val="Mono"/>
      </w:pPr>
      <w:r>
        <w:t xml:space="preserve">              + w_JPY · log(USD/JPY_t / USD/JPY_anchor)</w:t>
      </w:r>
    </w:p>
    <w:p>
      <w:pPr/>
      <w:r>
        <w:rPr>
          <w:b w:val="0"/>
          <w:i w:val="0"/>
        </w:rPr>
        <w:t>Intrinsic V1 (basket baseline):</w:t>
      </w:r>
    </w:p>
    <w:p>
      <w:pPr>
        <w:pStyle w:val="Mono"/>
      </w:pPr>
      <w:r>
        <w:t>intrinsic_v1(t) = fix_mid_anchor · exp( ret(t) )</w:t>
      </w:r>
    </w:p>
    <w:p>
      <w:pPr/>
      <w:r>
        <w:rPr>
          <w:b w:val="0"/>
          <w:i w:val="0"/>
        </w:rPr>
        <w:t>Spread Kalman (state-space):</w:t>
      </w:r>
    </w:p>
    <w:p>
      <w:pPr>
        <w:pStyle w:val="Mono"/>
      </w:pPr>
      <w:r>
        <w:t>x_t = c + φ · x_{t-1} + w_t,   w_t ~ N(0, Q)</w:t>
      </w:r>
    </w:p>
    <w:p>
      <w:pPr>
        <w:pStyle w:val="Mono"/>
      </w:pPr>
      <w:r>
        <w:t>y_t = x_t + v_t,                v_t ~ N(0, R)</w:t>
      </w:r>
    </w:p>
    <w:p>
      <w:pPr>
        <w:pStyle w:val="Mono"/>
      </w:pPr>
      <w:r/>
    </w:p>
    <w:p>
      <w:pPr>
        <w:pStyle w:val="Mono"/>
      </w:pPr>
      <w:r>
        <w:t>Predict:  x̂_{t|t-1} = c + φ · x̂_{t-1|t-1}</w:t>
      </w:r>
    </w:p>
    <w:p>
      <w:pPr>
        <w:pStyle w:val="Mono"/>
      </w:pPr>
      <w:r>
        <w:t xml:space="preserve">          P_{t|t-1} = φ² · P_{t-1|t-1} + Q</w:t>
      </w:r>
    </w:p>
    <w:p>
      <w:pPr>
        <w:pStyle w:val="Mono"/>
      </w:pPr>
      <w:r>
        <w:t>Update:   K_t = P_{t|t-1} / (P_{t|t-1} + R)</w:t>
      </w:r>
    </w:p>
    <w:p>
      <w:pPr>
        <w:pStyle w:val="Mono"/>
      </w:pPr>
      <w:r>
        <w:t xml:space="preserve">          x̂_{t|t} = x̂_{t|t-1} + K_t · (y_t − x̂_{t|t-1})</w:t>
      </w:r>
    </w:p>
    <w:p>
      <w:pPr>
        <w:pStyle w:val="Mono"/>
      </w:pPr>
      <w:r>
        <w:t xml:space="preserve">          P_{t|t} = (1 − K_t) · P_{t|t-1}</w:t>
      </w:r>
    </w:p>
    <w:p>
      <w:pPr/>
      <w:r>
        <w:rPr>
          <w:b w:val="0"/>
          <w:i w:val="0"/>
        </w:rPr>
        <w:t>Intrinsic V2 (full model):</w:t>
      </w:r>
    </w:p>
    <w:p>
      <w:pPr>
        <w:pStyle w:val="Mono"/>
      </w:pPr>
      <w:r>
        <w:t>intrinsic_v2(t) = intrinsic_v1(t) + x̂_t</w:t>
      </w:r>
    </w:p>
    <w:p>
      <w:pPr/>
      <w:r>
        <w:rPr>
          <w:b w:val="0"/>
          <w:i w:val="0"/>
        </w:rPr>
        <w:t>Premium / Discount (basis points):</w:t>
      </w:r>
    </w:p>
    <w:p>
      <w:pPr>
        <w:pStyle w:val="Mono"/>
      </w:pPr>
      <w:r>
        <w:t>premium_bps(t) = (ib_rate(t) − intrinsic_v2(t)) / intrinsic_v2(t) × 10_000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pPr>
      <w:spacing w:before="80" w:after="8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