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473565">
      <w:pPr>
        <w:rPr>
          <w:rFonts w:ascii="Times" w:hAnsi="Times"/>
          <w:sz w:val="24"/>
          <w:szCs w:val="24"/>
        </w:rPr>
      </w:pPr>
      <w:bookmarkStart w:id="0" w:name="_GoBack"/>
      <w:r>
        <w:rPr>
          <w:rFonts w:ascii="Times" w:hAnsi="Times"/>
          <w:sz w:val="24"/>
          <w:szCs w:val="24"/>
        </w:rPr>
        <w:t>DQ1 – Ethics and Governance</w:t>
      </w:r>
    </w:p>
    <w:p w:rsidR="00F10709" w:rsidRDefault="00F10709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An understanding of ethics and governance can help leaders in their roles. </w:t>
      </w:r>
    </w:p>
    <w:p w:rsidR="00F10709" w:rsidRDefault="00F10709">
      <w:pPr>
        <w:rPr>
          <w:rFonts w:ascii="Times" w:hAnsi="Times"/>
          <w:sz w:val="24"/>
          <w:szCs w:val="24"/>
        </w:rPr>
      </w:pPr>
    </w:p>
    <w:p w:rsidR="00473565" w:rsidRDefault="00473565" w:rsidP="00F10709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word ethics is derived from the Greek word ‘ethos’ to mean moral principles to guide an individual’s behaviour or the conduct of an activity.</w:t>
      </w:r>
      <w:r w:rsidR="003E0AF1">
        <w:rPr>
          <w:rFonts w:ascii="Times" w:hAnsi="Times"/>
          <w:sz w:val="24"/>
          <w:szCs w:val="24"/>
        </w:rPr>
        <w:t xml:space="preserve"> Governance refers to </w:t>
      </w:r>
      <w:r w:rsidR="003E0AF1" w:rsidRPr="003E0AF1">
        <w:rPr>
          <w:rFonts w:ascii="Times" w:hAnsi="Times"/>
          <w:sz w:val="24"/>
          <w:szCs w:val="24"/>
        </w:rPr>
        <w:t>the process of making decisions which define the expectations, systems and management</w:t>
      </w:r>
      <w:r w:rsidR="00146F61">
        <w:rPr>
          <w:rFonts w:ascii="Times" w:hAnsi="Times"/>
          <w:sz w:val="24"/>
          <w:szCs w:val="24"/>
        </w:rPr>
        <w:t xml:space="preserve"> </w:t>
      </w:r>
      <w:r w:rsidR="00A656CC">
        <w:rPr>
          <w:rFonts w:ascii="Times" w:hAnsi="Times"/>
          <w:sz w:val="24"/>
          <w:szCs w:val="24"/>
        </w:rPr>
        <w:fldChar w:fldCharType="begin" w:fldLock="1"/>
      </w:r>
      <w:r w:rsidR="00A656CC">
        <w:rPr>
          <w:rFonts w:ascii="Times" w:hAnsi="Times"/>
          <w:sz w:val="24"/>
          <w:szCs w:val="24"/>
        </w:rPr>
        <w:instrText>ADDIN CSL_CITATION {"citationItems":[{"id":"ITEM-1","itemData":{"ISBN":"ISBN 978-0-7007-1491-0","author":[{"dropping-particle":"","family":"Poluha","given":"E.","non-dropping-particle":"","parse-names":false,"suffix":""},{"dropping-particle":"","family":"Rosendahl","given":"M.","non-dropping-particle":"","parse-names":false,"suffix":""}],"id":"ITEM-1","issued":{"date-parts":[["2002"]]},"publisher":"Routledge","title":"Contesting good governance: crosscultural perspectives on representation, accountability and public space","type":"book"},"uris":["http://www.mendeley.com/documents/?uuid=3b6228a0-309b-4e07-9d1e-c12d2b2c12aa"]}],"mendeley":{"formattedCitation":"(Poluha &amp; Rosendahl, 2002)","plainTextFormattedCitation":"(Poluha &amp; Rosendahl, 2002)","previouslyFormattedCitation":"(Poluha &amp; Rosendahl, 2002)"},"properties":{"noteIndex":0},"schema":"https://github.com/citation-style-language/schema/raw/master/csl-citation.json"}</w:instrText>
      </w:r>
      <w:r w:rsidR="00A656CC">
        <w:rPr>
          <w:rFonts w:ascii="Times" w:hAnsi="Times"/>
          <w:sz w:val="24"/>
          <w:szCs w:val="24"/>
        </w:rPr>
        <w:fldChar w:fldCharType="separate"/>
      </w:r>
      <w:r w:rsidR="00A656CC" w:rsidRPr="00A656CC">
        <w:rPr>
          <w:rFonts w:ascii="Times" w:hAnsi="Times"/>
          <w:noProof/>
          <w:sz w:val="24"/>
          <w:szCs w:val="24"/>
        </w:rPr>
        <w:t>(Poluha &amp; Rosendahl, 2002)</w:t>
      </w:r>
      <w:r w:rsidR="00A656CC">
        <w:rPr>
          <w:rFonts w:ascii="Times" w:hAnsi="Times"/>
          <w:sz w:val="24"/>
          <w:szCs w:val="24"/>
        </w:rPr>
        <w:fldChar w:fldCharType="end"/>
      </w:r>
      <w:r w:rsidR="003E0AF1">
        <w:rPr>
          <w:rFonts w:ascii="Times" w:hAnsi="Times"/>
          <w:sz w:val="24"/>
          <w:szCs w:val="24"/>
        </w:rPr>
        <w:t xml:space="preserve">. </w:t>
      </w:r>
      <w:r w:rsidR="00E201FF">
        <w:rPr>
          <w:rFonts w:ascii="Times" w:hAnsi="Times"/>
          <w:sz w:val="24"/>
          <w:szCs w:val="24"/>
        </w:rPr>
        <w:t>For those in leadership roles, it is important to be ethical and also have good governance. For instance, one of the core valu</w:t>
      </w:r>
      <w:r w:rsidR="00A656CC">
        <w:rPr>
          <w:rFonts w:ascii="Times" w:hAnsi="Times"/>
          <w:sz w:val="24"/>
          <w:szCs w:val="24"/>
        </w:rPr>
        <w:t>es of Equity Bank is Effective Corporate G</w:t>
      </w:r>
      <w:r w:rsidR="00E201FF">
        <w:rPr>
          <w:rFonts w:ascii="Times" w:hAnsi="Times"/>
          <w:sz w:val="24"/>
          <w:szCs w:val="24"/>
        </w:rPr>
        <w:t>overnance whereby they promote accoun</w:t>
      </w:r>
      <w:r w:rsidR="000557F0">
        <w:rPr>
          <w:rFonts w:ascii="Times" w:hAnsi="Times"/>
          <w:sz w:val="24"/>
          <w:szCs w:val="24"/>
        </w:rPr>
        <w:t>tability, transparency and unity (Equity Group Holdings, 2019)</w:t>
      </w:r>
      <w:r w:rsidR="00E201FF">
        <w:rPr>
          <w:rFonts w:ascii="Times" w:hAnsi="Times"/>
          <w:sz w:val="24"/>
          <w:szCs w:val="24"/>
        </w:rPr>
        <w:t xml:space="preserve">. Good governance is where there is transparency and accountability in the way the organization </w:t>
      </w:r>
      <w:r w:rsidR="00C65A6E">
        <w:rPr>
          <w:rFonts w:ascii="Times" w:hAnsi="Times"/>
          <w:sz w:val="24"/>
          <w:szCs w:val="24"/>
        </w:rPr>
        <w:t xml:space="preserve">or country </w:t>
      </w:r>
      <w:r w:rsidR="00E201FF">
        <w:rPr>
          <w:rFonts w:ascii="Times" w:hAnsi="Times"/>
          <w:sz w:val="24"/>
          <w:szCs w:val="24"/>
        </w:rPr>
        <w:t>is</w:t>
      </w:r>
      <w:r w:rsidR="00C65A6E">
        <w:rPr>
          <w:rFonts w:ascii="Times" w:hAnsi="Times"/>
          <w:sz w:val="24"/>
          <w:szCs w:val="24"/>
        </w:rPr>
        <w:t xml:space="preserve"> run. A good example is with organizations (a church) that publish their earnings and expenditures as well as future projects at annual general meetings. Such a practice creates trust in the congregation and a general willingness to support the project(s).</w:t>
      </w:r>
      <w:r w:rsidR="00146F61">
        <w:rPr>
          <w:rFonts w:ascii="Times" w:hAnsi="Times"/>
          <w:sz w:val="24"/>
          <w:szCs w:val="24"/>
        </w:rPr>
        <w:t xml:space="preserve"> This also is a trait in ethical leaders and how being ethical creates credibility that results into gaining trust from the people that are bein</w:t>
      </w:r>
      <w:r w:rsidR="002C2499">
        <w:rPr>
          <w:rFonts w:ascii="Times" w:hAnsi="Times"/>
          <w:sz w:val="24"/>
          <w:szCs w:val="24"/>
        </w:rPr>
        <w:t>g led</w:t>
      </w:r>
      <w:r w:rsidR="00122727">
        <w:rPr>
          <w:rFonts w:ascii="Times" w:hAnsi="Times"/>
          <w:sz w:val="24"/>
          <w:szCs w:val="24"/>
        </w:rPr>
        <w:t xml:space="preserve"> </w:t>
      </w:r>
      <w:r w:rsidR="00122727">
        <w:rPr>
          <w:rFonts w:ascii="Times" w:hAnsi="Times"/>
          <w:sz w:val="24"/>
          <w:szCs w:val="24"/>
        </w:rPr>
        <w:fldChar w:fldCharType="begin" w:fldLock="1"/>
      </w:r>
      <w:r w:rsidR="00122727">
        <w:rPr>
          <w:rFonts w:ascii="Times" w:hAnsi="Times"/>
          <w:sz w:val="24"/>
          <w:szCs w:val="24"/>
        </w:rPr>
        <w:instrText>ADDIN CSL_CITATION {"citationItems":[{"id":"ITEM-1","itemData":{"author":[{"dropping-particle":"","family":"May","given":"R.","non-dropping-particle":"","parse-names":false,"suffix":""},{"dropping-particle":"","family":"Chan, A.","given":"","non-dropping-particle":"","parse-names":false,"suffix":""},{"dropping-particle":"","family":"Hodges","given":"T.","non-dropping-particle":"","parse-names":false,"suffix":""},{"dropping-particle":"","family":"Avolio","given":"B. J.","non-dropping-particle":"","parse-names":false,"suffix":""}],"container-title":"Organizational Dynamics","id":"ITEM-1","issued":{"date-parts":[["2003"]]},"page":"247-260","title":"Developing the moral component of authentic leadership","type":"article-journal","volume":"32"},"uris":["http://www.mendeley.com/documents/?uuid=c6f4ce9f-32fa-40f7-83ef-32c0f10983ee"]}],"mendeley":{"formattedCitation":"(May, Chan, A., Hodges, &amp; Avolio, 2003)","manualFormatting":"(May, Chan, Hodges, &amp; Avolio, 2003)","plainTextFormattedCitation":"(May, Chan, A., Hodges, &amp; Avolio, 2003)","previouslyFormattedCitation":"(May, Chan, A., Hodges, &amp; Avolio, 2003)"},"properties":{"noteIndex":0},"schema":"https://github.com/citation-style-language/schema/raw/master/csl-citation.json"}</w:instrText>
      </w:r>
      <w:r w:rsidR="00122727">
        <w:rPr>
          <w:rFonts w:ascii="Times" w:hAnsi="Times"/>
          <w:sz w:val="24"/>
          <w:szCs w:val="24"/>
        </w:rPr>
        <w:fldChar w:fldCharType="separate"/>
      </w:r>
      <w:r w:rsidR="00122727">
        <w:rPr>
          <w:rFonts w:ascii="Times" w:hAnsi="Times"/>
          <w:noProof/>
          <w:sz w:val="24"/>
          <w:szCs w:val="24"/>
        </w:rPr>
        <w:t>(May, Chan</w:t>
      </w:r>
      <w:r w:rsidR="00122727" w:rsidRPr="00122727">
        <w:rPr>
          <w:rFonts w:ascii="Times" w:hAnsi="Times"/>
          <w:noProof/>
          <w:sz w:val="24"/>
          <w:szCs w:val="24"/>
        </w:rPr>
        <w:t>, Hodges, &amp; Avolio, 2003)</w:t>
      </w:r>
      <w:r w:rsidR="00122727">
        <w:rPr>
          <w:rFonts w:ascii="Times" w:hAnsi="Times"/>
          <w:sz w:val="24"/>
          <w:szCs w:val="24"/>
        </w:rPr>
        <w:fldChar w:fldCharType="end"/>
      </w:r>
      <w:r w:rsidR="00146F61">
        <w:rPr>
          <w:rFonts w:ascii="Times" w:hAnsi="Times"/>
          <w:sz w:val="24"/>
          <w:szCs w:val="24"/>
        </w:rPr>
        <w:t>.</w:t>
      </w:r>
    </w:p>
    <w:p w:rsidR="00146F61" w:rsidRDefault="00146F61" w:rsidP="00F10709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Good governance also follows with consistency in that without being consistent in accountability and transparency, the trust disintegrates completely and the leaders’ ethics are questioned.</w:t>
      </w:r>
    </w:p>
    <w:p w:rsidR="00122727" w:rsidRDefault="00122727" w:rsidP="00F10709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 w:rsidR="00122727" w:rsidRDefault="00122727" w:rsidP="00122727">
      <w:pPr>
        <w:spacing w:line="480" w:lineRule="auto"/>
        <w:ind w:left="480" w:hanging="48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Equity Group Holdings (2019). Equity Bank Group. Core values. Retrieved from </w:t>
      </w:r>
      <w:hyperlink r:id="rId4" w:history="1">
        <w:r w:rsidR="00521E32" w:rsidRPr="00077472">
          <w:rPr>
            <w:rStyle w:val="Hyperlink"/>
            <w:rFonts w:ascii="Times" w:hAnsi="Times"/>
            <w:sz w:val="24"/>
            <w:szCs w:val="24"/>
          </w:rPr>
          <w:t>https://www.equitybankgroup.com/about/core-values</w:t>
        </w:r>
      </w:hyperlink>
    </w:p>
    <w:p w:rsidR="00122727" w:rsidRPr="00122727" w:rsidRDefault="00122727" w:rsidP="00122727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 w:fldLock="1"/>
      </w:r>
      <w:r>
        <w:rPr>
          <w:rFonts w:ascii="Times" w:hAnsi="Times"/>
          <w:sz w:val="24"/>
          <w:szCs w:val="24"/>
        </w:rPr>
        <w:instrText xml:space="preserve">ADDIN Mendeley Bibliography CSL_BIBLIOGRAPHY </w:instrText>
      </w:r>
      <w:r>
        <w:rPr>
          <w:rFonts w:ascii="Times" w:hAnsi="Times"/>
          <w:sz w:val="24"/>
          <w:szCs w:val="24"/>
        </w:rPr>
        <w:fldChar w:fldCharType="separate"/>
      </w:r>
      <w:r w:rsidRPr="00122727">
        <w:rPr>
          <w:rFonts w:ascii="Times" w:hAnsi="Times" w:cs="Times New Roman"/>
          <w:noProof/>
          <w:sz w:val="24"/>
          <w:szCs w:val="24"/>
        </w:rPr>
        <w:t xml:space="preserve">May, R., Chan, A., Hodges, T., &amp; Avolio, B. J. (2003). Developing the moral component of authentic leadership. </w:t>
      </w:r>
      <w:r w:rsidRPr="00122727">
        <w:rPr>
          <w:rFonts w:ascii="Times" w:hAnsi="Times" w:cs="Times New Roman"/>
          <w:i/>
          <w:iCs/>
          <w:noProof/>
          <w:sz w:val="24"/>
          <w:szCs w:val="24"/>
        </w:rPr>
        <w:t>Organizational Dynamics</w:t>
      </w:r>
      <w:r w:rsidRPr="00122727">
        <w:rPr>
          <w:rFonts w:ascii="Times" w:hAnsi="Times" w:cs="Times New Roman"/>
          <w:noProof/>
          <w:sz w:val="24"/>
          <w:szCs w:val="24"/>
        </w:rPr>
        <w:t xml:space="preserve">, </w:t>
      </w:r>
      <w:r w:rsidRPr="00122727">
        <w:rPr>
          <w:rFonts w:ascii="Times" w:hAnsi="Times" w:cs="Times New Roman"/>
          <w:i/>
          <w:iCs/>
          <w:noProof/>
          <w:sz w:val="24"/>
          <w:szCs w:val="24"/>
        </w:rPr>
        <w:t>32</w:t>
      </w:r>
      <w:r w:rsidRPr="00122727">
        <w:rPr>
          <w:rFonts w:ascii="Times" w:hAnsi="Times" w:cs="Times New Roman"/>
          <w:noProof/>
          <w:sz w:val="24"/>
          <w:szCs w:val="24"/>
        </w:rPr>
        <w:t>, 247–260.</w:t>
      </w:r>
    </w:p>
    <w:p w:rsidR="00122727" w:rsidRPr="00122727" w:rsidRDefault="00122727" w:rsidP="00122727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/>
          <w:noProof/>
          <w:sz w:val="24"/>
        </w:rPr>
      </w:pPr>
      <w:r w:rsidRPr="00122727">
        <w:rPr>
          <w:rFonts w:ascii="Times" w:hAnsi="Times" w:cs="Times New Roman"/>
          <w:noProof/>
          <w:sz w:val="24"/>
          <w:szCs w:val="24"/>
        </w:rPr>
        <w:lastRenderedPageBreak/>
        <w:t xml:space="preserve">Poluha, E., &amp; Rosendahl, M. (2002). </w:t>
      </w:r>
      <w:r w:rsidRPr="00122727">
        <w:rPr>
          <w:rFonts w:ascii="Times" w:hAnsi="Times" w:cs="Times New Roman"/>
          <w:i/>
          <w:iCs/>
          <w:noProof/>
          <w:sz w:val="24"/>
          <w:szCs w:val="24"/>
        </w:rPr>
        <w:t>Contesting good governance: crosscultural perspectives on representation, accountability and public space</w:t>
      </w:r>
      <w:r w:rsidRPr="00122727">
        <w:rPr>
          <w:rFonts w:ascii="Times" w:hAnsi="Times" w:cs="Times New Roman"/>
          <w:noProof/>
          <w:sz w:val="24"/>
          <w:szCs w:val="24"/>
        </w:rPr>
        <w:t>. Routledge.</w:t>
      </w:r>
    </w:p>
    <w:p w:rsidR="00122727" w:rsidRPr="00473565" w:rsidRDefault="00122727" w:rsidP="00F10709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end"/>
      </w:r>
      <w:bookmarkEnd w:id="0"/>
    </w:p>
    <w:sectPr w:rsidR="00122727" w:rsidRPr="0047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65"/>
    <w:rsid w:val="000557F0"/>
    <w:rsid w:val="00122727"/>
    <w:rsid w:val="00146F61"/>
    <w:rsid w:val="002C2499"/>
    <w:rsid w:val="00374E53"/>
    <w:rsid w:val="003E0AF1"/>
    <w:rsid w:val="00473565"/>
    <w:rsid w:val="0048701E"/>
    <w:rsid w:val="00521E32"/>
    <w:rsid w:val="00653967"/>
    <w:rsid w:val="00957ED1"/>
    <w:rsid w:val="00A656CC"/>
    <w:rsid w:val="00C65A6E"/>
    <w:rsid w:val="00CA2EBF"/>
    <w:rsid w:val="00E201FF"/>
    <w:rsid w:val="00E6025C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641C9-F56D-489D-BFA5-76266636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3E0AF1"/>
  </w:style>
  <w:style w:type="character" w:styleId="Hyperlink">
    <w:name w:val="Hyperlink"/>
    <w:basedOn w:val="DefaultParagraphFont"/>
    <w:uiPriority w:val="99"/>
    <w:unhideWhenUsed/>
    <w:rsid w:val="00122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quitybankgroup.com/about/core-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662</Words>
  <Characters>3461</Characters>
  <Application>Microsoft Office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5</cp:revision>
  <dcterms:created xsi:type="dcterms:W3CDTF">2019-01-31T07:42:00Z</dcterms:created>
  <dcterms:modified xsi:type="dcterms:W3CDTF">2019-02-04T10:03:00Z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8924ff3b-b3aa-3a38-8dea-3bacce03ebbc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