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3" w:rsidRDefault="008E592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DQ2 --- Response to </w:t>
      </w:r>
      <w:proofErr w:type="spellStart"/>
      <w:r>
        <w:rPr>
          <w:rFonts w:ascii="Times" w:hAnsi="Times"/>
          <w:sz w:val="24"/>
          <w:szCs w:val="24"/>
        </w:rPr>
        <w:t>Rehana</w:t>
      </w:r>
      <w:proofErr w:type="spellEnd"/>
    </w:p>
    <w:p w:rsidR="008E592D" w:rsidRDefault="008E592D" w:rsidP="008E592D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Thank you </w:t>
      </w:r>
      <w:proofErr w:type="spellStart"/>
      <w:r>
        <w:rPr>
          <w:rFonts w:ascii="Times" w:hAnsi="Times"/>
          <w:sz w:val="24"/>
          <w:szCs w:val="24"/>
        </w:rPr>
        <w:t>Rehana</w:t>
      </w:r>
      <w:proofErr w:type="spellEnd"/>
      <w:r>
        <w:rPr>
          <w:rFonts w:ascii="Times" w:hAnsi="Times"/>
          <w:sz w:val="24"/>
          <w:szCs w:val="24"/>
        </w:rPr>
        <w:t>,</w:t>
      </w:r>
      <w:r w:rsidR="00965238">
        <w:rPr>
          <w:rFonts w:ascii="Times" w:hAnsi="Times"/>
          <w:sz w:val="24"/>
          <w:szCs w:val="24"/>
        </w:rPr>
        <w:t xml:space="preserve"> for</w:t>
      </w:r>
      <w:r>
        <w:rPr>
          <w:rFonts w:ascii="Times" w:hAnsi="Times"/>
          <w:sz w:val="24"/>
          <w:szCs w:val="24"/>
        </w:rPr>
        <w:t xml:space="preserve"> that was a well put discussion and I especially like the last part about training being essential and</w:t>
      </w:r>
      <w:r w:rsidR="00965238">
        <w:rPr>
          <w:rFonts w:ascii="Times" w:hAnsi="Times"/>
          <w:sz w:val="24"/>
          <w:szCs w:val="24"/>
        </w:rPr>
        <w:t xml:space="preserve"> I</w:t>
      </w:r>
      <w:r>
        <w:rPr>
          <w:rFonts w:ascii="Times" w:hAnsi="Times"/>
          <w:sz w:val="24"/>
          <w:szCs w:val="24"/>
        </w:rPr>
        <w:t xml:space="preserve"> would like to respond to that.</w:t>
      </w:r>
    </w:p>
    <w:p w:rsidR="008E592D" w:rsidRDefault="008E592D" w:rsidP="008E592D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In as much as I agree that training is important to leadership and indeed the reason why we are studying </w:t>
      </w:r>
      <w:r w:rsidR="00965238">
        <w:rPr>
          <w:rFonts w:ascii="Times" w:hAnsi="Times"/>
          <w:sz w:val="24"/>
          <w:szCs w:val="24"/>
        </w:rPr>
        <w:t xml:space="preserve">these </w:t>
      </w:r>
      <w:r>
        <w:rPr>
          <w:rFonts w:ascii="Times" w:hAnsi="Times"/>
          <w:sz w:val="24"/>
          <w:szCs w:val="24"/>
        </w:rPr>
        <w:t>practices</w:t>
      </w:r>
      <w:r w:rsidR="00965238">
        <w:rPr>
          <w:rFonts w:ascii="Times" w:hAnsi="Times"/>
          <w:sz w:val="24"/>
          <w:szCs w:val="24"/>
        </w:rPr>
        <w:t>,</w:t>
      </w:r>
      <w:r>
        <w:rPr>
          <w:rFonts w:ascii="Times" w:hAnsi="Times"/>
          <w:sz w:val="24"/>
          <w:szCs w:val="24"/>
        </w:rPr>
        <w:t xml:space="preserve"> but that may all be for naught if the culture and </w:t>
      </w:r>
      <w:r w:rsidR="00965238">
        <w:rPr>
          <w:rFonts w:ascii="Times" w:hAnsi="Times"/>
          <w:sz w:val="24"/>
          <w:szCs w:val="24"/>
        </w:rPr>
        <w:t>apparatus</w:t>
      </w:r>
      <w:r>
        <w:rPr>
          <w:rFonts w:ascii="Times" w:hAnsi="Times"/>
          <w:sz w:val="24"/>
          <w:szCs w:val="24"/>
        </w:rPr>
        <w:t xml:space="preserve"> of the organization or body does not support the ethical practices of a leader. One mechanism that I find getting maligned is the policy of whistle blowers. In the developed world, mostly the United </w:t>
      </w:r>
      <w:r w:rsidR="00965238">
        <w:rPr>
          <w:rFonts w:ascii="Times" w:hAnsi="Times"/>
          <w:sz w:val="24"/>
          <w:szCs w:val="24"/>
        </w:rPr>
        <w:t>States</w:t>
      </w:r>
      <w:r>
        <w:rPr>
          <w:rFonts w:ascii="Times" w:hAnsi="Times"/>
          <w:sz w:val="24"/>
          <w:szCs w:val="24"/>
        </w:rPr>
        <w:t xml:space="preserve">, </w:t>
      </w:r>
      <w:r w:rsidR="00965238">
        <w:rPr>
          <w:rFonts w:ascii="Times" w:hAnsi="Times"/>
          <w:sz w:val="24"/>
          <w:szCs w:val="24"/>
        </w:rPr>
        <w:t xml:space="preserve">a lot of people come </w:t>
      </w:r>
      <w:r>
        <w:rPr>
          <w:rFonts w:ascii="Times" w:hAnsi="Times"/>
          <w:sz w:val="24"/>
          <w:szCs w:val="24"/>
        </w:rPr>
        <w:t>out to whistle blow on big pharma companies that have unethical practices e</w:t>
      </w:r>
      <w:r w:rsidR="00965238">
        <w:rPr>
          <w:rFonts w:ascii="Times" w:hAnsi="Times"/>
          <w:sz w:val="24"/>
          <w:szCs w:val="24"/>
        </w:rPr>
        <w:t>specially in clinical trial that</w:t>
      </w:r>
      <w:r>
        <w:rPr>
          <w:rFonts w:ascii="Times" w:hAnsi="Times"/>
          <w:sz w:val="24"/>
          <w:szCs w:val="24"/>
        </w:rPr>
        <w:t xml:space="preserve"> </w:t>
      </w:r>
      <w:r w:rsidR="00965238">
        <w:rPr>
          <w:rFonts w:ascii="Times" w:hAnsi="Times"/>
          <w:sz w:val="24"/>
          <w:szCs w:val="24"/>
        </w:rPr>
        <w:t>endanger</w:t>
      </w:r>
      <w:r>
        <w:rPr>
          <w:rFonts w:ascii="Times" w:hAnsi="Times"/>
          <w:sz w:val="24"/>
          <w:szCs w:val="24"/>
        </w:rPr>
        <w:t xml:space="preserve"> lives.</w:t>
      </w:r>
      <w:r w:rsidR="00965238">
        <w:rPr>
          <w:rFonts w:ascii="Times" w:hAnsi="Times"/>
          <w:sz w:val="24"/>
          <w:szCs w:val="24"/>
        </w:rPr>
        <w:t xml:space="preserve"> For instance, Johnson &amp; Johnson illegally and effectively promoted the use of </w:t>
      </w:r>
      <w:proofErr w:type="spellStart"/>
      <w:r w:rsidR="00965238">
        <w:rPr>
          <w:rFonts w:ascii="Times" w:hAnsi="Times"/>
          <w:sz w:val="24"/>
          <w:szCs w:val="24"/>
        </w:rPr>
        <w:t>Propulsid</w:t>
      </w:r>
      <w:proofErr w:type="spellEnd"/>
      <w:r w:rsidR="00965238">
        <w:rPr>
          <w:rFonts w:ascii="Times" w:hAnsi="Times"/>
          <w:sz w:val="24"/>
          <w:szCs w:val="24"/>
        </w:rPr>
        <w:t xml:space="preserve"> for children despite internal documentation that showed its safety concern </w:t>
      </w:r>
      <w:r w:rsidR="00965238">
        <w:rPr>
          <w:rFonts w:ascii="Times" w:hAnsi="Times"/>
          <w:sz w:val="24"/>
          <w:szCs w:val="24"/>
        </w:rPr>
        <w:fldChar w:fldCharType="begin" w:fldLock="1"/>
      </w:r>
      <w:r w:rsidR="00965238">
        <w:rPr>
          <w:rFonts w:ascii="Times" w:hAnsi="Times"/>
          <w:sz w:val="24"/>
          <w:szCs w:val="24"/>
        </w:rPr>
        <w:instrText>ADDIN CSL_CITATION {"citationItems":[{"id":"ITEM-1","itemData":{"author":[{"dropping-particle":"","family":"Brezis","given":"M.","non-dropping-particle":"","parse-names":false,"suffix":""}],"container-title":"Israeli Journal of Psychiatry Relat Sci","id":"ITEM-1","issue":"2","issued":{"date-parts":[["2008"]]},"page":"83-94","title":"Big pharma and health care: unsolvable conflict of interests between private enterprise and public health","type":"article-journal","volume":"45"},"uris":["http://www.mendeley.com/documents/?uuid=9c8471ee-7fa3-3df2-8ae5-28c436762b36"]}],"mendeley":{"formattedCitation":"(Brezis, 2008)","plainTextFormattedCitation":"(Brezis, 2008)","previouslyFormattedCitation":"(Brezis, 2008)"},"properties":{"noteIndex":0},"schema":"https://github.com/citation-style-language/schema/raw/master/csl-citation.json"}</w:instrText>
      </w:r>
      <w:r w:rsidR="00965238">
        <w:rPr>
          <w:rFonts w:ascii="Times" w:hAnsi="Times"/>
          <w:sz w:val="24"/>
          <w:szCs w:val="24"/>
        </w:rPr>
        <w:fldChar w:fldCharType="separate"/>
      </w:r>
      <w:r w:rsidR="00965238" w:rsidRPr="00965238">
        <w:rPr>
          <w:rFonts w:ascii="Times" w:hAnsi="Times"/>
          <w:noProof/>
          <w:sz w:val="24"/>
          <w:szCs w:val="24"/>
        </w:rPr>
        <w:t>(Brezis, 2008)</w:t>
      </w:r>
      <w:r w:rsidR="00965238">
        <w:rPr>
          <w:rFonts w:ascii="Times" w:hAnsi="Times"/>
          <w:sz w:val="24"/>
          <w:szCs w:val="24"/>
        </w:rPr>
        <w:fldChar w:fldCharType="end"/>
      </w:r>
      <w:r w:rsidR="00965238">
        <w:rPr>
          <w:rFonts w:ascii="Times" w:hAnsi="Times"/>
          <w:sz w:val="24"/>
          <w:szCs w:val="24"/>
        </w:rPr>
        <w:t>.</w:t>
      </w:r>
      <w:r>
        <w:rPr>
          <w:rFonts w:ascii="Times" w:hAnsi="Times"/>
          <w:sz w:val="24"/>
          <w:szCs w:val="24"/>
        </w:rPr>
        <w:t xml:space="preserve"> The government policy at the time protected these individuals and promoted the practice and over time created more open policy in how the pharmaceutical </w:t>
      </w:r>
      <w:r w:rsidR="00965238">
        <w:rPr>
          <w:rFonts w:ascii="Times" w:hAnsi="Times"/>
          <w:sz w:val="24"/>
          <w:szCs w:val="24"/>
        </w:rPr>
        <w:t xml:space="preserve">world of drug development works, however these policies are not always implemented as the whistle blowers are seen as disloyal and treasonous in some cases </w:t>
      </w:r>
      <w:r w:rsidR="00965238">
        <w:rPr>
          <w:rFonts w:ascii="Times" w:hAnsi="Times"/>
          <w:sz w:val="24"/>
          <w:szCs w:val="24"/>
        </w:rPr>
        <w:fldChar w:fldCharType="begin" w:fldLock="1"/>
      </w:r>
      <w:r w:rsidR="00965238">
        <w:rPr>
          <w:rFonts w:ascii="Times" w:hAnsi="Times"/>
          <w:sz w:val="24"/>
          <w:szCs w:val="24"/>
        </w:rPr>
        <w:instrText>ADDIN CSL_CITATION {"citationItems":[{"id":"ITEM-1","itemData":{"author":[{"dropping-particle":"","family":"Martin","given":"Brian","non-dropping-particle":"","parse-names":false,"suffix":""}],"container-title":"UTS Law Review","id":"ITEM-1","issued":{"date-parts":[["2003"]]},"title":"Illusions of Whistleblower Protection","type":"article-journal","volume":"5"},"uris":["http://www.mendeley.com/documents/?uuid=990a8087-b98e-3ce1-bd6b-2d092441c8ad"]}],"mendeley":{"formattedCitation":"(Martin, 2003)","plainTextFormattedCitation":"(Martin, 2003)","previouslyFormattedCitation":"(Martin, 2003)"},"properties":{"noteIndex":0},"schema":"https://github.com/citation-style-language/schema/raw/master/csl-citation.json"}</w:instrText>
      </w:r>
      <w:r w:rsidR="00965238">
        <w:rPr>
          <w:rFonts w:ascii="Times" w:hAnsi="Times"/>
          <w:sz w:val="24"/>
          <w:szCs w:val="24"/>
        </w:rPr>
        <w:fldChar w:fldCharType="separate"/>
      </w:r>
      <w:r w:rsidR="00965238" w:rsidRPr="00965238">
        <w:rPr>
          <w:rFonts w:ascii="Times" w:hAnsi="Times"/>
          <w:noProof/>
          <w:sz w:val="24"/>
          <w:szCs w:val="24"/>
        </w:rPr>
        <w:t>(Martin, 2003)</w:t>
      </w:r>
      <w:r w:rsidR="00965238">
        <w:rPr>
          <w:rFonts w:ascii="Times" w:hAnsi="Times"/>
          <w:sz w:val="24"/>
          <w:szCs w:val="24"/>
        </w:rPr>
        <w:fldChar w:fldCharType="end"/>
      </w:r>
      <w:r w:rsidR="00965238">
        <w:rPr>
          <w:rFonts w:ascii="Times" w:hAnsi="Times"/>
          <w:sz w:val="24"/>
          <w:szCs w:val="24"/>
        </w:rPr>
        <w:t>. Therefore, in order to ethical leaders, one needs to examine the mechanism of accountability in regard to whistle blowers.</w:t>
      </w:r>
    </w:p>
    <w:p w:rsidR="00965238" w:rsidRDefault="00965238" w:rsidP="008E592D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References</w:t>
      </w:r>
    </w:p>
    <w:p w:rsidR="00965238" w:rsidRPr="00965238" w:rsidRDefault="00965238" w:rsidP="0096523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 w:cs="Times New Roman"/>
          <w:noProof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 w:fldLock="1"/>
      </w:r>
      <w:r>
        <w:rPr>
          <w:rFonts w:ascii="Times" w:hAnsi="Times"/>
          <w:sz w:val="24"/>
          <w:szCs w:val="24"/>
        </w:rPr>
        <w:instrText xml:space="preserve">ADDIN Mendeley Bibliography CSL_BIBLIOGRAPHY </w:instrText>
      </w:r>
      <w:r>
        <w:rPr>
          <w:rFonts w:ascii="Times" w:hAnsi="Times"/>
          <w:sz w:val="24"/>
          <w:szCs w:val="24"/>
        </w:rPr>
        <w:fldChar w:fldCharType="separate"/>
      </w:r>
      <w:r w:rsidRPr="00965238">
        <w:rPr>
          <w:rFonts w:ascii="Times" w:hAnsi="Times" w:cs="Times New Roman"/>
          <w:noProof/>
          <w:sz w:val="24"/>
          <w:szCs w:val="24"/>
        </w:rPr>
        <w:t xml:space="preserve">Brezis, M. (2008). Big pharma and health care: unsolvable conflict of interests between private enterprise and public health. </w:t>
      </w:r>
      <w:r w:rsidRPr="00965238">
        <w:rPr>
          <w:rFonts w:ascii="Times" w:hAnsi="Times" w:cs="Times New Roman"/>
          <w:i/>
          <w:iCs/>
          <w:noProof/>
          <w:sz w:val="24"/>
          <w:szCs w:val="24"/>
        </w:rPr>
        <w:t>Israeli Journal of Psychiatry Relat Sci</w:t>
      </w:r>
      <w:r w:rsidRPr="00965238">
        <w:rPr>
          <w:rFonts w:ascii="Times" w:hAnsi="Times" w:cs="Times New Roman"/>
          <w:noProof/>
          <w:sz w:val="24"/>
          <w:szCs w:val="24"/>
        </w:rPr>
        <w:t xml:space="preserve">, </w:t>
      </w:r>
      <w:r w:rsidRPr="00965238">
        <w:rPr>
          <w:rFonts w:ascii="Times" w:hAnsi="Times" w:cs="Times New Roman"/>
          <w:i/>
          <w:iCs/>
          <w:noProof/>
          <w:sz w:val="24"/>
          <w:szCs w:val="24"/>
        </w:rPr>
        <w:t>45</w:t>
      </w:r>
      <w:r w:rsidRPr="00965238">
        <w:rPr>
          <w:rFonts w:ascii="Times" w:hAnsi="Times" w:cs="Times New Roman"/>
          <w:noProof/>
          <w:sz w:val="24"/>
          <w:szCs w:val="24"/>
        </w:rPr>
        <w:t>(2), 83–94. Retrieved from https://pdfs.semanticscholar.org/9b78/b9f4cd42347e827fdf800fe5b9122150d6c0.pdf</w:t>
      </w:r>
    </w:p>
    <w:p w:rsidR="00965238" w:rsidRPr="00965238" w:rsidRDefault="00965238" w:rsidP="0096523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/>
          <w:noProof/>
          <w:sz w:val="24"/>
        </w:rPr>
      </w:pPr>
      <w:r w:rsidRPr="00965238">
        <w:rPr>
          <w:rFonts w:ascii="Times" w:hAnsi="Times" w:cs="Times New Roman"/>
          <w:noProof/>
          <w:sz w:val="24"/>
          <w:szCs w:val="24"/>
        </w:rPr>
        <w:t xml:space="preserve">Martin, B. (2003). Illusions of Whistleblower Protection. </w:t>
      </w:r>
      <w:r w:rsidRPr="00965238">
        <w:rPr>
          <w:rFonts w:ascii="Times" w:hAnsi="Times" w:cs="Times New Roman"/>
          <w:i/>
          <w:iCs/>
          <w:noProof/>
          <w:sz w:val="24"/>
          <w:szCs w:val="24"/>
        </w:rPr>
        <w:t>UTS Law Review</w:t>
      </w:r>
      <w:r w:rsidRPr="00965238">
        <w:rPr>
          <w:rFonts w:ascii="Times" w:hAnsi="Times" w:cs="Times New Roman"/>
          <w:noProof/>
          <w:sz w:val="24"/>
          <w:szCs w:val="24"/>
        </w:rPr>
        <w:t xml:space="preserve">, </w:t>
      </w:r>
      <w:r w:rsidRPr="00965238">
        <w:rPr>
          <w:rFonts w:ascii="Times" w:hAnsi="Times" w:cs="Times New Roman"/>
          <w:i/>
          <w:iCs/>
          <w:noProof/>
          <w:sz w:val="24"/>
          <w:szCs w:val="24"/>
        </w:rPr>
        <w:t>5</w:t>
      </w:r>
      <w:r w:rsidRPr="00965238">
        <w:rPr>
          <w:rFonts w:ascii="Times" w:hAnsi="Times" w:cs="Times New Roman"/>
          <w:noProof/>
          <w:sz w:val="24"/>
          <w:szCs w:val="24"/>
        </w:rPr>
        <w:t>. Retrieved from https://heinonline.org/HOL/Page?handle=hein.journals/utslr5&amp;id=119&amp;div=&amp;collection=</w:t>
      </w:r>
    </w:p>
    <w:p w:rsidR="00965238" w:rsidRDefault="00965238" w:rsidP="008E592D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fldChar w:fldCharType="end"/>
      </w:r>
      <w:bookmarkStart w:id="0" w:name="_GoBack"/>
      <w:bookmarkEnd w:id="0"/>
    </w:p>
    <w:p w:rsidR="008E592D" w:rsidRPr="008E592D" w:rsidRDefault="008E592D" w:rsidP="008E592D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</w:p>
    <w:sectPr w:rsidR="008E592D" w:rsidRPr="008E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2D"/>
    <w:rsid w:val="00374E53"/>
    <w:rsid w:val="0048701E"/>
    <w:rsid w:val="00645007"/>
    <w:rsid w:val="00653967"/>
    <w:rsid w:val="008E592D"/>
    <w:rsid w:val="00965238"/>
    <w:rsid w:val="00C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02ED5-65CC-4947-BF31-B6F4CD5F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5D3A-BC23-47D5-9DDC-73CC1A45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548</Words>
  <Characters>2865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2</cp:revision>
  <dcterms:created xsi:type="dcterms:W3CDTF">2019-02-07T19:02:00Z</dcterms:created>
  <dcterms:modified xsi:type="dcterms:W3CDTF">2019-02-07T20:00:00Z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8924ff3b-b3aa-3a38-8dea-3bacce03ebbc</vt:lpwstr>
  </property>
  <property fmtid="{D5CDD505-2E9C-101B-9397-08002B2CF9AE}" pid="24" name="Mendeley Citation Style_1">
    <vt:lpwstr>http://www.zotero.org/styles/apa</vt:lpwstr>
  </property>
</Properties>
</file>