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E53" w:rsidRDefault="004900D3">
      <w:pPr>
        <w:rPr>
          <w:rFonts w:ascii="Times New Roman" w:hAnsi="Times New Roman" w:cs="Times New Roman"/>
          <w:sz w:val="24"/>
          <w:szCs w:val="24"/>
        </w:rPr>
      </w:pPr>
      <w:r>
        <w:rPr>
          <w:rFonts w:ascii="Times New Roman" w:hAnsi="Times New Roman" w:cs="Times New Roman"/>
          <w:sz w:val="24"/>
          <w:szCs w:val="24"/>
        </w:rPr>
        <w:t>WC 3 Corporate Governance and Compliance.</w:t>
      </w:r>
    </w:p>
    <w:p w:rsidR="004900D3" w:rsidRDefault="004900D3" w:rsidP="004900D3">
      <w:pPr>
        <w:ind w:firstLine="720"/>
        <w:rPr>
          <w:rFonts w:ascii="Times New Roman" w:hAnsi="Times New Roman" w:cs="Times New Roman"/>
          <w:sz w:val="24"/>
          <w:szCs w:val="24"/>
        </w:rPr>
      </w:pPr>
      <w:r>
        <w:rPr>
          <w:rFonts w:ascii="Times New Roman" w:hAnsi="Times New Roman" w:cs="Times New Roman"/>
          <w:sz w:val="24"/>
          <w:szCs w:val="24"/>
        </w:rPr>
        <w:t xml:space="preserve">In understanding corporate governance, there are many examples </w:t>
      </w:r>
      <w:r w:rsidR="004A605A">
        <w:rPr>
          <w:rFonts w:ascii="Times New Roman" w:hAnsi="Times New Roman" w:cs="Times New Roman"/>
          <w:sz w:val="24"/>
          <w:szCs w:val="24"/>
        </w:rPr>
        <w:t>of</w:t>
      </w:r>
      <w:r>
        <w:rPr>
          <w:rFonts w:ascii="Times New Roman" w:hAnsi="Times New Roman" w:cs="Times New Roman"/>
          <w:sz w:val="24"/>
          <w:szCs w:val="24"/>
        </w:rPr>
        <w:t xml:space="preserve"> the different types of corporate governance. In as much as it is clear the essence and purpose of these guidelines and rules on this are carried out, the issue of compliance is one that is not followed up very closely. In the matter of compliance and openness, many comp</w:t>
      </w:r>
      <w:r w:rsidR="004A605A">
        <w:rPr>
          <w:rFonts w:ascii="Times New Roman" w:hAnsi="Times New Roman" w:cs="Times New Roman"/>
          <w:sz w:val="24"/>
          <w:szCs w:val="24"/>
        </w:rPr>
        <w:t>a</w:t>
      </w:r>
      <w:r>
        <w:rPr>
          <w:rFonts w:ascii="Times New Roman" w:hAnsi="Times New Roman" w:cs="Times New Roman"/>
          <w:sz w:val="24"/>
          <w:szCs w:val="24"/>
        </w:rPr>
        <w:t xml:space="preserve">nies publish their accounts and processes to what was happening, why profits would be low or high, why leadership is changing. A good example I followed closely was the profit warning statements from Centum Investments, an established investments firm operating in East Africa. They are required to issue profit warning before the time to report profits and losses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{"citationItems":[{"id":"ITEM-1","itemData":{"author":[{"dropping-particle":"","family":"Centumn Invesrment","given":"","non-dropping-particle":"","parse-names":false,"suffix":""}],"id":"ITEM-1","issued":{"date-parts":[["2018","5","11"]]},"publisher-place":"Nairobi","title":"PROFIT WARNING ANNOUNCEMENT ","type":"report"},"uris":["http://www.mendeley.com/documents/?uuid=5abb6806-2a0b-3af0-9f73-3b1fb3f0f1f0"]}],"mendeley":{"formattedCitation":"(Centumn Invesrment, 2018)","plainTextFormattedCitation":"(Centumn Invesrment, 2018)","previouslyFormattedCitation":"(Centumn Invesrment, 2018)"},"properties":{"noteIndex":0},"schema":"https://github.com/citation-style-language/schema/raw/master/csl-citation.json"}</w:instrText>
      </w:r>
      <w:r>
        <w:rPr>
          <w:rFonts w:ascii="Times New Roman" w:hAnsi="Times New Roman" w:cs="Times New Roman"/>
          <w:sz w:val="24"/>
          <w:szCs w:val="24"/>
        </w:rPr>
        <w:fldChar w:fldCharType="separate"/>
      </w:r>
      <w:r w:rsidRPr="004900D3">
        <w:rPr>
          <w:rFonts w:ascii="Times New Roman" w:hAnsi="Times New Roman" w:cs="Times New Roman"/>
          <w:noProof/>
          <w:sz w:val="24"/>
          <w:szCs w:val="24"/>
        </w:rPr>
        <w:t>(Centumn Invesrment, 2018)</w:t>
      </w:r>
      <w:r>
        <w:rPr>
          <w:rFonts w:ascii="Times New Roman" w:hAnsi="Times New Roman" w:cs="Times New Roman"/>
          <w:sz w:val="24"/>
          <w:szCs w:val="24"/>
        </w:rPr>
        <w:fldChar w:fldCharType="end"/>
      </w:r>
      <w:r>
        <w:rPr>
          <w:rFonts w:ascii="Times New Roman" w:hAnsi="Times New Roman" w:cs="Times New Roman"/>
          <w:sz w:val="24"/>
          <w:szCs w:val="24"/>
        </w:rPr>
        <w:t>, and this is a rule enshrined in their by</w:t>
      </w:r>
      <w:r w:rsidR="004A605A">
        <w:rPr>
          <w:rFonts w:ascii="Times New Roman" w:hAnsi="Times New Roman" w:cs="Times New Roman"/>
          <w:sz w:val="24"/>
          <w:szCs w:val="24"/>
        </w:rPr>
        <w:t>-</w:t>
      </w:r>
      <w:r>
        <w:rPr>
          <w:rFonts w:ascii="Times New Roman" w:hAnsi="Times New Roman" w:cs="Times New Roman"/>
          <w:sz w:val="24"/>
          <w:szCs w:val="24"/>
        </w:rPr>
        <w:t>laws and principles of corporate governance. Given that they are following a principled based corporate governance, I have learnt what the compliance to these would look like in a continent enshro</w:t>
      </w:r>
      <w:r w:rsidR="004A605A">
        <w:rPr>
          <w:rFonts w:ascii="Times New Roman" w:hAnsi="Times New Roman" w:cs="Times New Roman"/>
          <w:sz w:val="24"/>
          <w:szCs w:val="24"/>
        </w:rPr>
        <w:t>u</w:t>
      </w:r>
      <w:r>
        <w:rPr>
          <w:rFonts w:ascii="Times New Roman" w:hAnsi="Times New Roman" w:cs="Times New Roman"/>
          <w:sz w:val="24"/>
          <w:szCs w:val="24"/>
        </w:rPr>
        <w:t xml:space="preserve">ded with corporate corruption scandals such as </w:t>
      </w:r>
      <w:proofErr w:type="spellStart"/>
      <w:r>
        <w:rPr>
          <w:rFonts w:ascii="Times New Roman" w:hAnsi="Times New Roman" w:cs="Times New Roman"/>
          <w:sz w:val="24"/>
          <w:szCs w:val="24"/>
        </w:rPr>
        <w:t>Uchumi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Mumia</w:t>
      </w:r>
      <w:proofErr w:type="spellEnd"/>
      <w:r>
        <w:rPr>
          <w:rFonts w:ascii="Times New Roman" w:hAnsi="Times New Roman" w:cs="Times New Roman"/>
          <w:sz w:val="24"/>
          <w:szCs w:val="24"/>
        </w:rPr>
        <w:t xml:space="preserve"> sugar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{"citationItems":[{"id":"ITEM-1","itemData":{"author":[{"dropping-particle":"","family":"Mugo","given":"A. W.","non-dropping-particle":"","parse-names":false,"suffix":""}],"id":"ITEM-1","issued":{"date-parts":[["2015"]]},"publisher":"University of Nairobi","title":"Corporate Governance in Kenya: An introduction, and the Kenyan perspective","type":"thesis"},"uris":["http://www.mendeley.com/documents/?uuid=db9b8d63-fa4c-45ad-8012-e2cbfde69b78"]}],"mendeley":{"formattedCitation":"(Mugo, 2015)","plainTextFormattedCitation":"(Mugo, 2015)","previouslyFormattedCitation":"(Mugo, 2015)"},"properties":{"noteIndex":0},"schema":"https://github.com/citation-style-language/schema/raw/master/csl-citation.json"}</w:instrText>
      </w:r>
      <w:r>
        <w:rPr>
          <w:rFonts w:ascii="Times New Roman" w:hAnsi="Times New Roman" w:cs="Times New Roman"/>
          <w:sz w:val="24"/>
          <w:szCs w:val="24"/>
        </w:rPr>
        <w:fldChar w:fldCharType="separate"/>
      </w:r>
      <w:r w:rsidRPr="004900D3">
        <w:rPr>
          <w:rFonts w:ascii="Times New Roman" w:hAnsi="Times New Roman" w:cs="Times New Roman"/>
          <w:noProof/>
          <w:sz w:val="24"/>
          <w:szCs w:val="24"/>
        </w:rPr>
        <w:t>(Mugo,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4900D3" w:rsidRDefault="004900D3" w:rsidP="004900D3">
      <w:pPr>
        <w:ind w:firstLine="720"/>
        <w:rPr>
          <w:rFonts w:ascii="Times New Roman" w:hAnsi="Times New Roman" w:cs="Times New Roman"/>
          <w:sz w:val="24"/>
          <w:szCs w:val="24"/>
        </w:rPr>
      </w:pPr>
      <w:r>
        <w:rPr>
          <w:rFonts w:ascii="Times New Roman" w:hAnsi="Times New Roman" w:cs="Times New Roman"/>
          <w:sz w:val="24"/>
          <w:szCs w:val="24"/>
        </w:rPr>
        <w:t>In 2011, Marks and Spencer a British firm had to explain to the sha</w:t>
      </w:r>
      <w:r w:rsidR="004A605A">
        <w:rPr>
          <w:rFonts w:ascii="Times New Roman" w:hAnsi="Times New Roman" w:cs="Times New Roman"/>
          <w:sz w:val="24"/>
          <w:szCs w:val="24"/>
        </w:rPr>
        <w:t>re</w:t>
      </w:r>
      <w:r>
        <w:rPr>
          <w:rFonts w:ascii="Times New Roman" w:hAnsi="Times New Roman" w:cs="Times New Roman"/>
          <w:sz w:val="24"/>
          <w:szCs w:val="24"/>
        </w:rPr>
        <w:t>holders the violation of corpo</w:t>
      </w:r>
      <w:r w:rsidR="004A605A">
        <w:rPr>
          <w:rFonts w:ascii="Times New Roman" w:hAnsi="Times New Roman" w:cs="Times New Roman"/>
          <w:sz w:val="24"/>
          <w:szCs w:val="24"/>
        </w:rPr>
        <w:t>ra</w:t>
      </w:r>
      <w:r>
        <w:rPr>
          <w:rFonts w:ascii="Times New Roman" w:hAnsi="Times New Roman" w:cs="Times New Roman"/>
          <w:sz w:val="24"/>
          <w:szCs w:val="24"/>
        </w:rPr>
        <w:t xml:space="preserve">te governance where the board chairman was also the CEO. This is also another example of compliance and in line with the measures given to ensure </w:t>
      </w:r>
      <w:r w:rsidR="004A605A">
        <w:rPr>
          <w:rFonts w:ascii="Times New Roman" w:hAnsi="Times New Roman" w:cs="Times New Roman"/>
          <w:sz w:val="24"/>
          <w:szCs w:val="24"/>
        </w:rPr>
        <w:t xml:space="preserve">a </w:t>
      </w:r>
      <w:r>
        <w:rPr>
          <w:rFonts w:ascii="Times New Roman" w:hAnsi="Times New Roman" w:cs="Times New Roman"/>
          <w:sz w:val="24"/>
          <w:szCs w:val="24"/>
        </w:rPr>
        <w:t xml:space="preserve">high level of accountability to the shareholders and the public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{"citationItems":[{"id":"ITEM-1","itemData":{"author":[{"dropping-particle":"","family":"Solomon","given":"J.","non-dropping-particle":"","parse-names":false,"suffix":""}],"id":"ITEM-1","issued":{"date-parts":[["2013"]]},"publisher":"Wiley &amp; Sons Inc.","publisher-place":"New Jersey","title":"Corporate Governance and Accountability ","type":"book"},"uris":["http://www.mendeley.com/documents/?uuid=a05db144-7bb9-327b-a50c-e157523ebc9d"]}],"mendeley":{"formattedCitation":"(Solomon, 2013)","plainTextFormattedCitation":"(Solomon, 2013)","previouslyFormattedCitation":"(Solomon, 2013)"},"properties":{"noteIndex":0},"schema":"https://github.com/citation-style-language/schema/raw/master/csl-citation.json"}</w:instrText>
      </w:r>
      <w:r>
        <w:rPr>
          <w:rFonts w:ascii="Times New Roman" w:hAnsi="Times New Roman" w:cs="Times New Roman"/>
          <w:sz w:val="24"/>
          <w:szCs w:val="24"/>
        </w:rPr>
        <w:fldChar w:fldCharType="separate"/>
      </w:r>
      <w:r w:rsidRPr="004900D3">
        <w:rPr>
          <w:rFonts w:ascii="Times New Roman" w:hAnsi="Times New Roman" w:cs="Times New Roman"/>
          <w:noProof/>
          <w:sz w:val="24"/>
          <w:szCs w:val="24"/>
        </w:rPr>
        <w:t>(Solomon, 2013)</w:t>
      </w:r>
      <w:r>
        <w:rPr>
          <w:rFonts w:ascii="Times New Roman" w:hAnsi="Times New Roman" w:cs="Times New Roman"/>
          <w:sz w:val="24"/>
          <w:szCs w:val="24"/>
        </w:rPr>
        <w:fldChar w:fldCharType="end"/>
      </w:r>
      <w:r>
        <w:rPr>
          <w:rFonts w:ascii="Times New Roman" w:hAnsi="Times New Roman" w:cs="Times New Roman"/>
          <w:sz w:val="24"/>
          <w:szCs w:val="24"/>
        </w:rPr>
        <w:t>.</w:t>
      </w:r>
      <w:bookmarkStart w:id="0" w:name="_GoBack"/>
      <w:bookmarkEnd w:id="0"/>
    </w:p>
    <w:p w:rsidR="004900D3" w:rsidRDefault="004900D3">
      <w:pPr>
        <w:rPr>
          <w:rFonts w:ascii="Times New Roman" w:hAnsi="Times New Roman" w:cs="Times New Roman"/>
          <w:sz w:val="24"/>
          <w:szCs w:val="24"/>
        </w:rPr>
      </w:pPr>
    </w:p>
    <w:p w:rsidR="004900D3" w:rsidRPr="004900D3" w:rsidRDefault="004900D3">
      <w:pPr>
        <w:rPr>
          <w:rFonts w:ascii="Times New Roman" w:hAnsi="Times New Roman" w:cs="Times New Roman"/>
          <w:b/>
          <w:sz w:val="24"/>
          <w:szCs w:val="24"/>
        </w:rPr>
      </w:pPr>
      <w:r w:rsidRPr="004900D3">
        <w:rPr>
          <w:rFonts w:ascii="Times New Roman" w:hAnsi="Times New Roman" w:cs="Times New Roman"/>
          <w:b/>
          <w:sz w:val="24"/>
          <w:szCs w:val="24"/>
        </w:rPr>
        <w:t>References</w:t>
      </w:r>
    </w:p>
    <w:p w:rsidR="004900D3" w:rsidRPr="004900D3" w:rsidRDefault="004900D3" w:rsidP="004900D3">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4900D3">
        <w:rPr>
          <w:rFonts w:ascii="Times New Roman" w:hAnsi="Times New Roman" w:cs="Times New Roman"/>
          <w:noProof/>
          <w:sz w:val="24"/>
          <w:szCs w:val="24"/>
        </w:rPr>
        <w:t xml:space="preserve">Centumn Invesrment. (2018). </w:t>
      </w:r>
      <w:r w:rsidRPr="004900D3">
        <w:rPr>
          <w:rFonts w:ascii="Times New Roman" w:hAnsi="Times New Roman" w:cs="Times New Roman"/>
          <w:i/>
          <w:iCs/>
          <w:noProof/>
          <w:sz w:val="24"/>
          <w:szCs w:val="24"/>
        </w:rPr>
        <w:t>PROFIT WARNING ANNOUNCEMENT</w:t>
      </w:r>
      <w:r w:rsidRPr="004900D3">
        <w:rPr>
          <w:rFonts w:ascii="Times New Roman" w:hAnsi="Times New Roman" w:cs="Times New Roman"/>
          <w:noProof/>
          <w:sz w:val="24"/>
          <w:szCs w:val="24"/>
        </w:rPr>
        <w:t>. Nairobi. Retrieved from https://centum.co.ke/index.php/2015-10-21-05-04-41/12-news/394-profit-warning-announcement</w:t>
      </w:r>
    </w:p>
    <w:p w:rsidR="004900D3" w:rsidRPr="004900D3" w:rsidRDefault="004900D3" w:rsidP="004900D3">
      <w:pPr>
        <w:widowControl w:val="0"/>
        <w:autoSpaceDE w:val="0"/>
        <w:autoSpaceDN w:val="0"/>
        <w:adjustRightInd w:val="0"/>
        <w:spacing w:line="240" w:lineRule="auto"/>
        <w:ind w:left="480" w:hanging="480"/>
        <w:rPr>
          <w:rFonts w:ascii="Times New Roman" w:hAnsi="Times New Roman" w:cs="Times New Roman"/>
          <w:noProof/>
          <w:sz w:val="24"/>
          <w:szCs w:val="24"/>
        </w:rPr>
      </w:pPr>
      <w:r w:rsidRPr="004900D3">
        <w:rPr>
          <w:rFonts w:ascii="Times New Roman" w:hAnsi="Times New Roman" w:cs="Times New Roman"/>
          <w:noProof/>
          <w:sz w:val="24"/>
          <w:szCs w:val="24"/>
        </w:rPr>
        <w:t xml:space="preserve">Mugo, A. W. (2015). </w:t>
      </w:r>
      <w:r w:rsidRPr="004900D3">
        <w:rPr>
          <w:rFonts w:ascii="Times New Roman" w:hAnsi="Times New Roman" w:cs="Times New Roman"/>
          <w:i/>
          <w:iCs/>
          <w:noProof/>
          <w:sz w:val="24"/>
          <w:szCs w:val="24"/>
        </w:rPr>
        <w:t>Corporate Governance in Kenya: An introduction, and the Kenyan perspective</w:t>
      </w:r>
      <w:r w:rsidRPr="004900D3">
        <w:rPr>
          <w:rFonts w:ascii="Times New Roman" w:hAnsi="Times New Roman" w:cs="Times New Roman"/>
          <w:noProof/>
          <w:sz w:val="24"/>
          <w:szCs w:val="24"/>
        </w:rPr>
        <w:t xml:space="preserve">. </w:t>
      </w:r>
      <w:r w:rsidR="004A605A">
        <w:rPr>
          <w:rFonts w:ascii="Times New Roman" w:hAnsi="Times New Roman" w:cs="Times New Roman"/>
          <w:noProof/>
          <w:sz w:val="24"/>
          <w:szCs w:val="24"/>
        </w:rPr>
        <w:t xml:space="preserve">The </w:t>
      </w:r>
      <w:r w:rsidRPr="004900D3">
        <w:rPr>
          <w:rFonts w:ascii="Times New Roman" w:hAnsi="Times New Roman" w:cs="Times New Roman"/>
          <w:noProof/>
          <w:sz w:val="24"/>
          <w:szCs w:val="24"/>
        </w:rPr>
        <w:t>University of Nairobi.</w:t>
      </w:r>
    </w:p>
    <w:p w:rsidR="004900D3" w:rsidRPr="004900D3" w:rsidRDefault="004900D3" w:rsidP="004900D3">
      <w:pPr>
        <w:widowControl w:val="0"/>
        <w:autoSpaceDE w:val="0"/>
        <w:autoSpaceDN w:val="0"/>
        <w:adjustRightInd w:val="0"/>
        <w:spacing w:line="240" w:lineRule="auto"/>
        <w:ind w:left="480" w:hanging="480"/>
        <w:rPr>
          <w:rFonts w:ascii="Times New Roman" w:hAnsi="Times New Roman" w:cs="Times New Roman"/>
          <w:noProof/>
          <w:sz w:val="24"/>
        </w:rPr>
      </w:pPr>
      <w:r w:rsidRPr="004900D3">
        <w:rPr>
          <w:rFonts w:ascii="Times New Roman" w:hAnsi="Times New Roman" w:cs="Times New Roman"/>
          <w:noProof/>
          <w:sz w:val="24"/>
          <w:szCs w:val="24"/>
        </w:rPr>
        <w:t xml:space="preserve">Solomon, J. (2013). </w:t>
      </w:r>
      <w:r w:rsidRPr="004900D3">
        <w:rPr>
          <w:rFonts w:ascii="Times New Roman" w:hAnsi="Times New Roman" w:cs="Times New Roman"/>
          <w:i/>
          <w:iCs/>
          <w:noProof/>
          <w:sz w:val="24"/>
          <w:szCs w:val="24"/>
        </w:rPr>
        <w:t>Corporate Governance and Accountability</w:t>
      </w:r>
      <w:r w:rsidRPr="004900D3">
        <w:rPr>
          <w:rFonts w:ascii="Times New Roman" w:hAnsi="Times New Roman" w:cs="Times New Roman"/>
          <w:noProof/>
          <w:sz w:val="24"/>
          <w:szCs w:val="24"/>
        </w:rPr>
        <w:t xml:space="preserve">. New Jersey: Wiley &amp; Sons Inc. </w:t>
      </w:r>
    </w:p>
    <w:p w:rsidR="004900D3" w:rsidRPr="004900D3" w:rsidRDefault="004900D3">
      <w:pPr>
        <w:rPr>
          <w:rFonts w:ascii="Times New Roman" w:hAnsi="Times New Roman" w:cs="Times New Roman"/>
          <w:sz w:val="24"/>
          <w:szCs w:val="24"/>
        </w:rPr>
      </w:pPr>
      <w:r>
        <w:rPr>
          <w:rFonts w:ascii="Times New Roman" w:hAnsi="Times New Roman" w:cs="Times New Roman"/>
          <w:sz w:val="24"/>
          <w:szCs w:val="24"/>
        </w:rPr>
        <w:fldChar w:fldCharType="end"/>
      </w:r>
    </w:p>
    <w:sectPr w:rsidR="004900D3" w:rsidRPr="00490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yMLAwNjM3MzE3tTBS0lEKTi0uzszPAykwrAUAU3P9VywAAAA="/>
  </w:docVars>
  <w:rsids>
    <w:rsidRoot w:val="004900D3"/>
    <w:rsid w:val="00374E53"/>
    <w:rsid w:val="0048701E"/>
    <w:rsid w:val="004900D3"/>
    <w:rsid w:val="004A605A"/>
    <w:rsid w:val="00653967"/>
    <w:rsid w:val="00BD7492"/>
    <w:rsid w:val="00CA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768BC-5C1D-494F-B367-188568202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3</cp:revision>
  <dcterms:created xsi:type="dcterms:W3CDTF">2021-02-07T19:47:00Z</dcterms:created>
  <dcterms:modified xsi:type="dcterms:W3CDTF">2021-02-07T20:31:00Z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8924ff3b-b3aa-3a38-8dea-3bacce03ebbc</vt:lpwstr>
  </property>
</Properties>
</file>