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Pr="00E13B0D" w:rsidRDefault="00E13B0D" w:rsidP="00E13B0D">
      <w:pPr>
        <w:spacing w:line="480" w:lineRule="auto"/>
        <w:jc w:val="both"/>
        <w:rPr>
          <w:rFonts w:ascii="Times" w:hAnsi="Times"/>
          <w:sz w:val="24"/>
          <w:szCs w:val="24"/>
        </w:rPr>
      </w:pPr>
      <w:r w:rsidRPr="00E13B0D">
        <w:rPr>
          <w:rFonts w:ascii="Times" w:hAnsi="Times"/>
          <w:sz w:val="24"/>
          <w:szCs w:val="24"/>
        </w:rPr>
        <w:t>WC 6 Ethics</w:t>
      </w:r>
    </w:p>
    <w:p w:rsidR="00E419F4" w:rsidRDefault="00E13B0D" w:rsidP="00E13B0D">
      <w:pPr>
        <w:spacing w:line="480" w:lineRule="auto"/>
        <w:jc w:val="both"/>
        <w:rPr>
          <w:rFonts w:ascii="Times" w:hAnsi="Times"/>
          <w:sz w:val="24"/>
          <w:szCs w:val="24"/>
        </w:rPr>
      </w:pPr>
      <w:r>
        <w:rPr>
          <w:rFonts w:ascii="Times" w:hAnsi="Times"/>
          <w:sz w:val="24"/>
          <w:szCs w:val="24"/>
        </w:rPr>
        <w:tab/>
        <w:t xml:space="preserve">The board of governors is a position on the organizational chart that is usually reserved for the top most held positions in any organization. According to </w:t>
      </w:r>
      <w:r>
        <w:rPr>
          <w:rFonts w:ascii="Times" w:hAnsi="Times"/>
          <w:sz w:val="24"/>
          <w:szCs w:val="24"/>
        </w:rPr>
        <w:fldChar w:fldCharType="begin" w:fldLock="1"/>
      </w:r>
      <w:r w:rsidR="00112573">
        <w:rPr>
          <w:rFonts w:ascii="Times" w:hAnsi="Times"/>
          <w:sz w:val="24"/>
          <w:szCs w:val="24"/>
        </w:rPr>
        <w:instrText>ADDIN CSL_CITATION {"citationItems":[{"id":"ITEM-1","itemData":{"author":[{"dropping-particle":"","family":"Steinberg","given":"R. M.","non-dropping-particle":"","parse-names":false,"suffix":""}],"id":"ITEM-1","issued":{"date-parts":[["2011"]]},"publisher":"John Wiley &amp; Sons, Inc.","publisher-place":"Hoboken, New Jersey","title":"Governance, Risk Mangement and Compliance; It can Happen to us - Avoiding coporate disaster while driving success","type":"book"},"uris":["http://www.mendeley.com/documents/?uuid=a8b58bfd-448d-463c-8437-e712fc959bf2"]}],"mendeley":{"formattedCitation":"(Steinberg, 2011)","plainTextFormattedCitation":"(Steinberg, 2011)","previouslyFormattedCitation":"(Steinberg, 2011)"},"properties":{"noteIndex":0},"schema":"https://github.com/citation-style-language/schema/raw/master/csl-citation.json"}</w:instrText>
      </w:r>
      <w:r>
        <w:rPr>
          <w:rFonts w:ascii="Times" w:hAnsi="Times"/>
          <w:sz w:val="24"/>
          <w:szCs w:val="24"/>
        </w:rPr>
        <w:fldChar w:fldCharType="separate"/>
      </w:r>
      <w:r w:rsidRPr="00E13B0D">
        <w:rPr>
          <w:rFonts w:ascii="Times" w:hAnsi="Times"/>
          <w:noProof/>
          <w:sz w:val="24"/>
          <w:szCs w:val="24"/>
        </w:rPr>
        <w:t>(Steinberg, 2011)</w:t>
      </w:r>
      <w:r>
        <w:rPr>
          <w:rFonts w:ascii="Times" w:hAnsi="Times"/>
          <w:sz w:val="24"/>
          <w:szCs w:val="24"/>
        </w:rPr>
        <w:fldChar w:fldCharType="end"/>
      </w:r>
      <w:r w:rsidR="00E419F4">
        <w:rPr>
          <w:rFonts w:ascii="Times" w:hAnsi="Times"/>
          <w:sz w:val="24"/>
          <w:szCs w:val="24"/>
        </w:rPr>
        <w:t xml:space="preserve">, the board are mostly concerned with ensuring that the organization is appropriately identifying and managing risks, and also that the board is kept appraised of the most significant risks and how management is dealing with it. </w:t>
      </w:r>
    </w:p>
    <w:p w:rsidR="00E419F4" w:rsidRDefault="00E419F4" w:rsidP="00E419F4">
      <w:pPr>
        <w:spacing w:line="480" w:lineRule="auto"/>
        <w:ind w:firstLine="720"/>
        <w:jc w:val="both"/>
        <w:rPr>
          <w:rFonts w:ascii="Times" w:hAnsi="Times"/>
          <w:sz w:val="24"/>
          <w:szCs w:val="24"/>
        </w:rPr>
      </w:pPr>
      <w:r>
        <w:rPr>
          <w:rFonts w:ascii="Times" w:hAnsi="Times"/>
          <w:sz w:val="24"/>
          <w:szCs w:val="24"/>
        </w:rPr>
        <w:t xml:space="preserve">In lieu of this, I am learning that with many banks in Africa failing, there has to have been a failure in the governance and ethics all the way from the board of governors to the lowest managerial positions. A good example is in the recent closure and sell of Crane bank, a fast growing bank in Uganda. To the public all seemed to be going on well and moving in accordance to general practice until an investigation led by the central Bank shed light to some glaring mistakes and misappropriation of funds and poor management of </w:t>
      </w:r>
      <w:r w:rsidR="00112573">
        <w:rPr>
          <w:rFonts w:ascii="Times" w:hAnsi="Times"/>
          <w:sz w:val="24"/>
          <w:szCs w:val="24"/>
        </w:rPr>
        <w:t>loan</w:t>
      </w:r>
      <w:r>
        <w:rPr>
          <w:rFonts w:ascii="Times" w:hAnsi="Times"/>
          <w:sz w:val="24"/>
          <w:szCs w:val="24"/>
        </w:rPr>
        <w:t xml:space="preserve"> facilities</w:t>
      </w:r>
      <w:r w:rsidR="00112573">
        <w:rPr>
          <w:rFonts w:ascii="Times" w:hAnsi="Times"/>
          <w:sz w:val="24"/>
          <w:szCs w:val="24"/>
        </w:rPr>
        <w:t xml:space="preserve"> </w:t>
      </w:r>
      <w:r w:rsidR="00112573">
        <w:rPr>
          <w:rFonts w:ascii="Times" w:hAnsi="Times"/>
          <w:sz w:val="24"/>
          <w:szCs w:val="24"/>
        </w:rPr>
        <w:fldChar w:fldCharType="begin" w:fldLock="1"/>
      </w:r>
      <w:r w:rsidR="00112573">
        <w:rPr>
          <w:rFonts w:ascii="Times" w:hAnsi="Times"/>
          <w:sz w:val="24"/>
          <w:szCs w:val="24"/>
        </w:rPr>
        <w:instrText>ADDIN CSL_CITATION {"citationItems":[{"id":"ITEM-1","itemData":{"author":[{"dropping-particle":"","family":"Busulwa","given":"B.","non-dropping-particle":"","parse-names":false,"suffix":""}],"container-title":"The East African","id":"ITEM-1","issued":{"date-parts":[["2016","10","20"]]},"publisher-place":"Kampala","title":"Ugand's Central Bank takes control of Crane Bank","type":"article-newspaper"},"uris":["http://www.mendeley.com/documents/?uuid=cd4c9bb6-9a6e-4ebd-918d-e39b61929b4a"]}],"mendeley":{"formattedCitation":"(Busulwa, 2016)","plainTextFormattedCitation":"(Busulwa, 2016)","previouslyFormattedCitation":"(Busulwa, 2016)"},"properties":{"noteIndex":0},"schema":"https://github.com/citation-style-language/schema/raw/master/csl-citation.json"}</w:instrText>
      </w:r>
      <w:r w:rsidR="00112573">
        <w:rPr>
          <w:rFonts w:ascii="Times" w:hAnsi="Times"/>
          <w:sz w:val="24"/>
          <w:szCs w:val="24"/>
        </w:rPr>
        <w:fldChar w:fldCharType="separate"/>
      </w:r>
      <w:r w:rsidR="00112573" w:rsidRPr="00112573">
        <w:rPr>
          <w:rFonts w:ascii="Times" w:hAnsi="Times"/>
          <w:noProof/>
          <w:sz w:val="24"/>
          <w:szCs w:val="24"/>
        </w:rPr>
        <w:t>(Busulwa, 2016)</w:t>
      </w:r>
      <w:r w:rsidR="00112573">
        <w:rPr>
          <w:rFonts w:ascii="Times" w:hAnsi="Times"/>
          <w:sz w:val="24"/>
          <w:szCs w:val="24"/>
        </w:rPr>
        <w:fldChar w:fldCharType="end"/>
      </w:r>
      <w:r>
        <w:rPr>
          <w:rFonts w:ascii="Times" w:hAnsi="Times"/>
          <w:sz w:val="24"/>
          <w:szCs w:val="24"/>
        </w:rPr>
        <w:t>.</w:t>
      </w:r>
    </w:p>
    <w:p w:rsidR="00112573" w:rsidRDefault="00112573" w:rsidP="00E419F4">
      <w:pPr>
        <w:spacing w:line="480" w:lineRule="auto"/>
        <w:ind w:firstLine="720"/>
        <w:jc w:val="both"/>
        <w:rPr>
          <w:rFonts w:ascii="Times" w:hAnsi="Times"/>
          <w:sz w:val="24"/>
          <w:szCs w:val="24"/>
        </w:rPr>
      </w:pPr>
      <w:r>
        <w:rPr>
          <w:rFonts w:ascii="Times" w:hAnsi="Times"/>
          <w:sz w:val="24"/>
          <w:szCs w:val="24"/>
        </w:rPr>
        <w:t xml:space="preserve">I also learn that the use of a balance sheet to weigh the pros and cons of making a decision brings into focus a lot of points of view that help a leader in making ethical decisions </w:t>
      </w:r>
      <w:r>
        <w:rPr>
          <w:rFonts w:ascii="Times" w:hAnsi="Times"/>
          <w:sz w:val="24"/>
          <w:szCs w:val="24"/>
        </w:rPr>
        <w:fldChar w:fldCharType="begin" w:fldLock="1"/>
      </w:r>
      <w:r>
        <w:rPr>
          <w:rFonts w:ascii="Times" w:hAnsi="Times"/>
          <w:sz w:val="24"/>
          <w:szCs w:val="24"/>
        </w:rPr>
        <w:instrText>ADDIN CSL_CITATION {"citationItems":[{"id":"ITEM-1","itemData":{"author":[{"dropping-particle":"","family":"Johnson","given":"C.","non-dropping-particle":"","parse-names":false,"suffix":""}],"edition":"6th Editio","id":"ITEM-1","issued":{"date-parts":[["2018"]]},"publisher":"Sage Publications Inc.","publisher-place":"Thousand Oaks, CA","title":"Meeting the Ethical Challenges of leadersship: casting light or shadow.","type":"book"},"uris":["http://www.mendeley.com/documents/?uuid=bfc42809-1013-4b0e-81f2-808867c73bc3"]}],"mendeley":{"formattedCitation":"(Johnson, 2018)","plainTextFormattedCitation":"(Johnson, 2018)","previouslyFormattedCitation":"(Johnson, 2018)"},"properties":{"noteIndex":0},"schema":"https://github.com/citation-style-language/schema/raw/master/csl-citation.json"}</w:instrText>
      </w:r>
      <w:r>
        <w:rPr>
          <w:rFonts w:ascii="Times" w:hAnsi="Times"/>
          <w:sz w:val="24"/>
          <w:szCs w:val="24"/>
        </w:rPr>
        <w:fldChar w:fldCharType="separate"/>
      </w:r>
      <w:r w:rsidRPr="00112573">
        <w:rPr>
          <w:rFonts w:ascii="Times" w:hAnsi="Times"/>
          <w:noProof/>
          <w:sz w:val="24"/>
          <w:szCs w:val="24"/>
        </w:rPr>
        <w:t>(Johnson, 2018)</w:t>
      </w:r>
      <w:r>
        <w:rPr>
          <w:rFonts w:ascii="Times" w:hAnsi="Times"/>
          <w:sz w:val="24"/>
          <w:szCs w:val="24"/>
        </w:rPr>
        <w:fldChar w:fldCharType="end"/>
      </w:r>
      <w:r>
        <w:rPr>
          <w:rFonts w:ascii="Times" w:hAnsi="Times"/>
          <w:sz w:val="24"/>
          <w:szCs w:val="24"/>
        </w:rPr>
        <w:t>.</w:t>
      </w:r>
    </w:p>
    <w:p w:rsidR="00112573" w:rsidRDefault="00112573" w:rsidP="00E419F4">
      <w:pPr>
        <w:spacing w:line="480" w:lineRule="auto"/>
        <w:ind w:firstLine="720"/>
        <w:jc w:val="both"/>
        <w:rPr>
          <w:rFonts w:ascii="Times" w:hAnsi="Times"/>
          <w:sz w:val="24"/>
          <w:szCs w:val="24"/>
        </w:rPr>
      </w:pPr>
      <w:r>
        <w:rPr>
          <w:rFonts w:ascii="Times" w:hAnsi="Times"/>
          <w:sz w:val="24"/>
          <w:szCs w:val="24"/>
        </w:rPr>
        <w:t>References</w:t>
      </w:r>
    </w:p>
    <w:p w:rsidR="00112573" w:rsidRPr="00112573" w:rsidRDefault="00112573" w:rsidP="00112573">
      <w:pPr>
        <w:widowControl w:val="0"/>
        <w:autoSpaceDE w:val="0"/>
        <w:autoSpaceDN w:val="0"/>
        <w:adjustRightInd w:val="0"/>
        <w:spacing w:line="480" w:lineRule="auto"/>
        <w:ind w:left="480" w:hanging="480"/>
        <w:rPr>
          <w:rFonts w:ascii="Times" w:hAnsi="Times" w:cs="Times New Roman"/>
          <w:noProof/>
          <w:sz w:val="24"/>
          <w:szCs w:val="24"/>
        </w:rPr>
      </w:pPr>
      <w:r>
        <w:rPr>
          <w:rFonts w:ascii="Times" w:hAnsi="Times"/>
          <w:sz w:val="24"/>
          <w:szCs w:val="24"/>
        </w:rPr>
        <w:fldChar w:fldCharType="begin" w:fldLock="1"/>
      </w:r>
      <w:r>
        <w:rPr>
          <w:rFonts w:ascii="Times" w:hAnsi="Times"/>
          <w:sz w:val="24"/>
          <w:szCs w:val="24"/>
        </w:rPr>
        <w:instrText xml:space="preserve">ADDIN Mendeley Bibliography CSL_BIBLIOGRAPHY </w:instrText>
      </w:r>
      <w:r>
        <w:rPr>
          <w:rFonts w:ascii="Times" w:hAnsi="Times"/>
          <w:sz w:val="24"/>
          <w:szCs w:val="24"/>
        </w:rPr>
        <w:fldChar w:fldCharType="separate"/>
      </w:r>
      <w:r w:rsidRPr="00112573">
        <w:rPr>
          <w:rFonts w:ascii="Times" w:hAnsi="Times" w:cs="Times New Roman"/>
          <w:noProof/>
          <w:sz w:val="24"/>
          <w:szCs w:val="24"/>
        </w:rPr>
        <w:t xml:space="preserve">Busulwa, B. (2016, October 20). Ugand’s Central Bank takes control of Crane Bank. </w:t>
      </w:r>
      <w:r w:rsidRPr="00112573">
        <w:rPr>
          <w:rFonts w:ascii="Times" w:hAnsi="Times" w:cs="Times New Roman"/>
          <w:i/>
          <w:iCs/>
          <w:noProof/>
          <w:sz w:val="24"/>
          <w:szCs w:val="24"/>
        </w:rPr>
        <w:t>The East African</w:t>
      </w:r>
      <w:r w:rsidRPr="00112573">
        <w:rPr>
          <w:rFonts w:ascii="Times" w:hAnsi="Times" w:cs="Times New Roman"/>
          <w:noProof/>
          <w:sz w:val="24"/>
          <w:szCs w:val="24"/>
        </w:rPr>
        <w:t>.</w:t>
      </w:r>
    </w:p>
    <w:p w:rsidR="00112573" w:rsidRPr="00112573" w:rsidRDefault="00112573" w:rsidP="00112573">
      <w:pPr>
        <w:widowControl w:val="0"/>
        <w:autoSpaceDE w:val="0"/>
        <w:autoSpaceDN w:val="0"/>
        <w:adjustRightInd w:val="0"/>
        <w:spacing w:line="480" w:lineRule="auto"/>
        <w:ind w:left="480" w:hanging="480"/>
        <w:rPr>
          <w:rFonts w:ascii="Times" w:hAnsi="Times" w:cs="Times New Roman"/>
          <w:noProof/>
          <w:sz w:val="24"/>
          <w:szCs w:val="24"/>
        </w:rPr>
      </w:pPr>
      <w:r w:rsidRPr="00112573">
        <w:rPr>
          <w:rFonts w:ascii="Times" w:hAnsi="Times" w:cs="Times New Roman"/>
          <w:noProof/>
          <w:sz w:val="24"/>
          <w:szCs w:val="24"/>
        </w:rPr>
        <w:t xml:space="preserve">Johnson, C. (2018). </w:t>
      </w:r>
      <w:r w:rsidRPr="00112573">
        <w:rPr>
          <w:rFonts w:ascii="Times" w:hAnsi="Times" w:cs="Times New Roman"/>
          <w:i/>
          <w:iCs/>
          <w:noProof/>
          <w:sz w:val="24"/>
          <w:szCs w:val="24"/>
        </w:rPr>
        <w:t>Meeting the Ethical Challenges of leadersship: casting light or shadow.</w:t>
      </w:r>
      <w:r w:rsidRPr="00112573">
        <w:rPr>
          <w:rFonts w:ascii="Times" w:hAnsi="Times" w:cs="Times New Roman"/>
          <w:noProof/>
          <w:sz w:val="24"/>
          <w:szCs w:val="24"/>
        </w:rPr>
        <w:t xml:space="preserve"> (6th Editio). Thousand Oaks, CA: Sage Publications Inc.</w:t>
      </w:r>
    </w:p>
    <w:p w:rsidR="00112573" w:rsidRPr="00112573" w:rsidRDefault="00112573" w:rsidP="00112573">
      <w:pPr>
        <w:widowControl w:val="0"/>
        <w:autoSpaceDE w:val="0"/>
        <w:autoSpaceDN w:val="0"/>
        <w:adjustRightInd w:val="0"/>
        <w:spacing w:line="480" w:lineRule="auto"/>
        <w:ind w:left="480" w:hanging="480"/>
        <w:rPr>
          <w:rFonts w:ascii="Times" w:hAnsi="Times"/>
          <w:noProof/>
          <w:sz w:val="24"/>
        </w:rPr>
      </w:pPr>
      <w:r w:rsidRPr="00112573">
        <w:rPr>
          <w:rFonts w:ascii="Times" w:hAnsi="Times" w:cs="Times New Roman"/>
          <w:noProof/>
          <w:sz w:val="24"/>
          <w:szCs w:val="24"/>
        </w:rPr>
        <w:t xml:space="preserve">Steinberg, R. M. (2011). </w:t>
      </w:r>
      <w:r w:rsidRPr="00112573">
        <w:rPr>
          <w:rFonts w:ascii="Times" w:hAnsi="Times" w:cs="Times New Roman"/>
          <w:i/>
          <w:iCs/>
          <w:noProof/>
          <w:sz w:val="24"/>
          <w:szCs w:val="24"/>
        </w:rPr>
        <w:t xml:space="preserve">Governance, Risk Mangement and Compliance; It can Happen to us - </w:t>
      </w:r>
      <w:r w:rsidRPr="00112573">
        <w:rPr>
          <w:rFonts w:ascii="Times" w:hAnsi="Times" w:cs="Times New Roman"/>
          <w:i/>
          <w:iCs/>
          <w:noProof/>
          <w:sz w:val="24"/>
          <w:szCs w:val="24"/>
        </w:rPr>
        <w:lastRenderedPageBreak/>
        <w:t>Avoiding coporate disaster while driving success</w:t>
      </w:r>
      <w:r w:rsidRPr="00112573">
        <w:rPr>
          <w:rFonts w:ascii="Times" w:hAnsi="Times" w:cs="Times New Roman"/>
          <w:noProof/>
          <w:sz w:val="24"/>
          <w:szCs w:val="24"/>
        </w:rPr>
        <w:t>. Hoboken, New Jersey: John Wiley &amp; Sons, Inc.</w:t>
      </w:r>
    </w:p>
    <w:p w:rsidR="00112573" w:rsidRPr="00E13B0D" w:rsidRDefault="00112573" w:rsidP="00E419F4">
      <w:pPr>
        <w:spacing w:line="480" w:lineRule="auto"/>
        <w:ind w:firstLine="720"/>
        <w:jc w:val="both"/>
        <w:rPr>
          <w:rFonts w:ascii="Times" w:hAnsi="Times"/>
          <w:sz w:val="24"/>
          <w:szCs w:val="24"/>
        </w:rPr>
      </w:pPr>
      <w:r>
        <w:rPr>
          <w:rFonts w:ascii="Times" w:hAnsi="Times"/>
          <w:sz w:val="24"/>
          <w:szCs w:val="24"/>
        </w:rPr>
        <w:fldChar w:fldCharType="end"/>
      </w:r>
      <w:bookmarkStart w:id="0" w:name="_GoBack"/>
      <w:bookmarkEnd w:id="0"/>
    </w:p>
    <w:sectPr w:rsidR="00112573" w:rsidRPr="00E1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0D"/>
    <w:rsid w:val="00112573"/>
    <w:rsid w:val="002E7BE9"/>
    <w:rsid w:val="00374E53"/>
    <w:rsid w:val="0048701E"/>
    <w:rsid w:val="00653967"/>
    <w:rsid w:val="007C1DAA"/>
    <w:rsid w:val="00CA2EBF"/>
    <w:rsid w:val="00E13B0D"/>
    <w:rsid w:val="00E4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60AE3-7A7C-495C-B97F-4F877C40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2019-04-07T20:20:00Z</dcterms:created>
  <dcterms:modified xsi:type="dcterms:W3CDTF">2019-04-07T20:51:00Z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8924ff3b-b3aa-3a38-8dea-3bacce03ebbc</vt:lpwstr>
  </property>
  <property fmtid="{D5CDD505-2E9C-101B-9397-08002B2CF9AE}" pid="4" name="Mendeley Citation Style_1">
    <vt:lpwstr>http://www.zotero.org/styles/apa</vt:lpwstr>
  </property>
</Properties>
</file>