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300"/>
        <w:jc w:val="center"/>
      </w:pPr>
      <w:r>
        <w:rPr>
          <w:b/>
          <w:bCs/>
          <w:sz w:val="56"/>
          <w:szCs w:val="56"/>
        </w:rPr>
        <w:t xml:space="preserve">HelpDesk Lite</w:t>
      </w:r>
    </w:p>
    <w:p>
      <w:pPr>
        <w:spacing w:after="200"/>
        <w:jc w:val="center"/>
      </w:pPr>
      <w:r>
        <w:rPr>
          <w:b/>
          <w:bCs/>
          <w:color w:val="444444"/>
          <w:sz w:val="34"/>
          <w:szCs w:val="34"/>
        </w:rPr>
        <w:t xml:space="preserve">AI-Assisted Engineering Workflow</w:t>
      </w:r>
    </w:p>
    <w:p>
      <w:pPr>
        <w:spacing w:after="1000"/>
        <w:jc w:val="center"/>
      </w:pPr>
      <w:r>
        <w:rPr>
          <w:color w:val="666666"/>
          <w:sz w:val="24"/>
          <w:szCs w:val="24"/>
        </w:rPr>
        <w:t xml:space="preserve">Day 3 — AI Dev Stack + Latest Tool Updates</w:t>
      </w:r>
    </w:p>
    <w:p>
      <w:pPr>
        <w:jc w:val="center"/>
      </w:pPr>
      <w:r>
        <w:rPr>
          <w:sz w:val="26"/>
          <w:szCs w:val="26"/>
        </w:rPr>
        <w:t xml:space="preserve">Created by Mazin</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Overview</w:t>
      </w:r>
    </w:p>
    <w:p>
      <w:pPr>
        <w:spacing w:after="160"/>
      </w:pPr>
      <w:r>
        <w:t xml:space="preserve">This document is the single source of truth for how AI is used in the HelpDesk Lite engineering workflow, continuing the Day 1 Engineering Action Plan Pack and the Day 2 Jira Delivery Workspace. It covers, in order: which tasks should use AI and why, what context and access each AI interaction is given, a worked example of the planning-first coding workflow on a real Day 2 ticket, a debugging and verification example with evidence and a final decision, and how the team keeps its assumptions about AI tool capability current. A short summary and a requirements checklist close the document.</w:t>
      </w:r>
    </w:p>
    <w:p>
      <w:pPr>
        <w:pStyle w:val="Heading1"/>
        <w:spacing w:after="160" w:before="320"/>
      </w:pPr>
      <w:r>
        <w:t xml:space="preserve">1. AI Task Mapping</w:t>
      </w:r>
    </w:p>
    <w:p>
      <w:pPr>
        <w:spacing w:after="160"/>
      </w:pPr>
      <w:r>
        <w:t xml:space="preserve">AI is not applied blindly to every task. Each task below is marked Full, Partial, or None, with a short reason. “Partial” means AI can implement a human-made decision but should not originate it; “None” means the task is a judgment call, a security boundary, or a stakeholder decision that AI must not be trusted to make alone.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900"/>
        <w:gridCol w:w="3900"/>
      </w:tblGrid>
      <w:tr>
        <w:trPr>
          <w:tblHeader/>
        </w:trPr>
        <w:tc>
          <w:tcPr>
            <w:tcW w:type="dxa" w:w="2000"/>
            <w:shd w:fill="D9E2F3" w:color="auto" w:val="clear"/>
            <w:tcMar>
              <w:top w:type="dxa" w:w="80"/>
              <w:left w:type="dxa" w:w="100"/>
              <w:bottom w:type="dxa" w:w="80"/>
              <w:right w:type="dxa" w:w="100"/>
            </w:tcMar>
          </w:tcPr>
          <w:p>
            <w:pPr>
              <w:spacing w:after="40"/>
            </w:pPr>
            <w:r>
              <w:rPr>
                <w:b/>
                <w:bCs/>
                <w:sz w:val="19"/>
                <w:szCs w:val="19"/>
              </w:rPr>
              <w:t xml:space="preserve">Task</w:t>
            </w:r>
          </w:p>
        </w:tc>
        <w:tc>
          <w:tcPr>
            <w:tcW w:type="dxa" w:w="1500"/>
            <w:shd w:fill="D9E2F3" w:color="auto" w:val="clear"/>
            <w:tcMar>
              <w:top w:type="dxa" w:w="80"/>
              <w:left w:type="dxa" w:w="100"/>
              <w:bottom w:type="dxa" w:w="80"/>
              <w:right w:type="dxa" w:w="100"/>
            </w:tcMar>
          </w:tcPr>
          <w:p>
            <w:pPr>
              <w:spacing w:after="40"/>
            </w:pPr>
            <w:r>
              <w:rPr>
                <w:b/>
                <w:bCs/>
                <w:sz w:val="19"/>
                <w:szCs w:val="19"/>
              </w:rPr>
              <w:t xml:space="preserve">Epic</w:t>
            </w:r>
          </w:p>
        </w:tc>
        <w:tc>
          <w:tcPr>
            <w:tcW w:type="dxa" w:w="900"/>
            <w:shd w:fill="D9E2F3" w:color="auto" w:val="clear"/>
            <w:tcMar>
              <w:top w:type="dxa" w:w="80"/>
              <w:left w:type="dxa" w:w="100"/>
              <w:bottom w:type="dxa" w:w="80"/>
              <w:right w:type="dxa" w:w="100"/>
            </w:tcMar>
          </w:tcPr>
          <w:p>
            <w:pPr>
              <w:spacing w:after="40"/>
            </w:pPr>
            <w:r>
              <w:rPr>
                <w:b/>
                <w:bCs/>
                <w:sz w:val="19"/>
                <w:szCs w:val="19"/>
              </w:rPr>
              <w:t xml:space="preserve">AI Use</w:t>
            </w:r>
          </w:p>
        </w:tc>
        <w:tc>
          <w:tcPr>
            <w:tcW w:type="dxa" w:w="3900"/>
            <w:shd w:fill="D9E2F3" w:color="auto" w:val="clear"/>
            <w:tcMar>
              <w:top w:type="dxa" w:w="80"/>
              <w:left w:type="dxa" w:w="100"/>
              <w:bottom w:type="dxa" w:w="80"/>
              <w:right w:type="dxa" w:w="100"/>
            </w:tcMar>
          </w:tcPr>
          <w:p>
            <w:pPr>
              <w:spacing w:after="40"/>
            </w:pPr>
            <w:r>
              <w:rPr>
                <w:b/>
                <w:bCs/>
                <w:sz w:val="19"/>
                <w:szCs w:val="19"/>
              </w:rPr>
              <w:t xml:space="preserve">Reason</w:t>
            </w:r>
          </w:p>
        </w:tc>
      </w:tr>
      <w:tr>
        <w:tc>
          <w:tcPr>
            <w:tcW w:type="dxa" w:w="2000"/>
            <w:tcMar>
              <w:top w:type="dxa" w:w="80"/>
              <w:left w:type="dxa" w:w="100"/>
              <w:bottom w:type="dxa" w:w="80"/>
              <w:right w:type="dxa" w:w="100"/>
            </w:tcMar>
          </w:tcPr>
          <w:p>
            <w:pPr>
              <w:spacing w:after="40"/>
            </w:pPr>
            <w:r>
              <w:rPr>
                <w:b w:val="false"/>
                <w:bCs w:val="false"/>
                <w:sz w:val="19"/>
                <w:szCs w:val="19"/>
              </w:rPr>
              <w:t xml:space="preserve">Draft state-transition map &amp; validation function</w:t>
            </w:r>
          </w:p>
        </w:tc>
        <w:tc>
          <w:tcPr>
            <w:tcW w:type="dxa" w:w="1500"/>
            <w:tcMar>
              <w:top w:type="dxa" w:w="80"/>
              <w:left w:type="dxa" w:w="100"/>
              <w:bottom w:type="dxa" w:w="80"/>
              <w:right w:type="dxa" w:w="100"/>
            </w:tcMar>
          </w:tcPr>
          <w:p>
            <w:pPr>
              <w:spacing w:after="40"/>
            </w:pPr>
            <w:r>
              <w:rPr>
                <w:b w:val="false"/>
                <w:bCs w:val="false"/>
                <w:sz w:val="19"/>
                <w:szCs w:val="19"/>
              </w:rPr>
              <w:t xml:space="preserve">Workflow States</w:t>
            </w:r>
          </w:p>
        </w:tc>
        <w:tc>
          <w:tcPr>
            <w:tcW w:type="dxa" w:w="900"/>
            <w:tcMar>
              <w:top w:type="dxa" w:w="80"/>
              <w:left w:type="dxa" w:w="100"/>
              <w:bottom w:type="dxa" w:w="80"/>
              <w:right w:type="dxa" w:w="100"/>
            </w:tcMar>
          </w:tcPr>
          <w:p>
            <w:pPr>
              <w:spacing w:after="40"/>
            </w:pPr>
            <w:r>
              <w:rPr>
                <w:b w:val="false"/>
                <w:bCs w:val="false"/>
                <w:sz w:val="19"/>
                <w:szCs w:val="19"/>
              </w:rPr>
              <w:t xml:space="preserve">Partial</w:t>
            </w:r>
          </w:p>
        </w:tc>
        <w:tc>
          <w:tcPr>
            <w:tcW w:type="dxa" w:w="3900"/>
            <w:tcMar>
              <w:top w:type="dxa" w:w="80"/>
              <w:left w:type="dxa" w:w="100"/>
              <w:bottom w:type="dxa" w:w="80"/>
              <w:right w:type="dxa" w:w="100"/>
            </w:tcMar>
          </w:tcPr>
          <w:p>
            <w:pPr>
              <w:spacing w:after="40"/>
            </w:pPr>
            <w:r>
              <w:rPr>
                <w:b w:val="false"/>
                <w:bCs w:val="false"/>
                <w:sz w:val="19"/>
                <w:szCs w:val="19"/>
              </w:rPr>
              <w:t xml:space="preserve">AI can draft the transition logic from Appendix A, but the legal-transition rules must be human-confirmed before being trusted in production.</w:t>
            </w:r>
          </w:p>
        </w:tc>
      </w:tr>
      <w:tr>
        <w:tc>
          <w:tcPr>
            <w:tcW w:type="dxa" w:w="2000"/>
            <w:tcMar>
              <w:top w:type="dxa" w:w="80"/>
              <w:left w:type="dxa" w:w="100"/>
              <w:bottom w:type="dxa" w:w="80"/>
              <w:right w:type="dxa" w:w="100"/>
            </w:tcMar>
          </w:tcPr>
          <w:p>
            <w:pPr>
              <w:spacing w:after="40"/>
            </w:pPr>
            <w:r>
              <w:rPr>
                <w:b w:val="false"/>
                <w:bCs w:val="false"/>
                <w:sz w:val="19"/>
                <w:szCs w:val="19"/>
              </w:rPr>
              <w:t xml:space="preserve">Append state changes to ticket history</w:t>
            </w:r>
          </w:p>
        </w:tc>
        <w:tc>
          <w:tcPr>
            <w:tcW w:type="dxa" w:w="1500"/>
            <w:tcMar>
              <w:top w:type="dxa" w:w="80"/>
              <w:left w:type="dxa" w:w="100"/>
              <w:bottom w:type="dxa" w:w="80"/>
              <w:right w:type="dxa" w:w="100"/>
            </w:tcMar>
          </w:tcPr>
          <w:p>
            <w:pPr>
              <w:spacing w:after="40"/>
            </w:pPr>
            <w:r>
              <w:rPr>
                <w:b w:val="false"/>
                <w:bCs w:val="false"/>
                <w:sz w:val="19"/>
                <w:szCs w:val="19"/>
              </w:rPr>
              <w:t xml:space="preserve">Workflow States</w:t>
            </w:r>
          </w:p>
        </w:tc>
        <w:tc>
          <w:tcPr>
            <w:tcW w:type="dxa" w:w="900"/>
            <w:tcMar>
              <w:top w:type="dxa" w:w="80"/>
              <w:left w:type="dxa" w:w="100"/>
              <w:bottom w:type="dxa" w:w="80"/>
              <w:right w:type="dxa" w:w="100"/>
            </w:tcMar>
          </w:tcPr>
          <w:p>
            <w:pPr>
              <w:spacing w:after="40"/>
            </w:pPr>
            <w:r>
              <w:rPr>
                <w:b w:val="false"/>
                <w:bCs w:val="false"/>
                <w:sz w:val="19"/>
                <w:szCs w:val="19"/>
              </w:rPr>
              <w:t xml:space="preserve">Full</w:t>
            </w:r>
          </w:p>
        </w:tc>
        <w:tc>
          <w:tcPr>
            <w:tcW w:type="dxa" w:w="3900"/>
            <w:tcMar>
              <w:top w:type="dxa" w:w="80"/>
              <w:left w:type="dxa" w:w="100"/>
              <w:bottom w:type="dxa" w:w="80"/>
              <w:right w:type="dxa" w:w="100"/>
            </w:tcMar>
          </w:tcPr>
          <w:p>
            <w:pPr>
              <w:spacing w:after="40"/>
            </w:pPr>
            <w:r>
              <w:rPr>
                <w:b w:val="false"/>
                <w:bCs w:val="false"/>
                <w:sz w:val="19"/>
                <w:szCs w:val="19"/>
              </w:rPr>
              <w:t xml:space="preserve">Mechanical, well-specified, low risk, easy to verify with a test.</w:t>
            </w:r>
          </w:p>
        </w:tc>
      </w:tr>
      <w:tr>
        <w:tc>
          <w:tcPr>
            <w:tcW w:type="dxa" w:w="2000"/>
            <w:tcMar>
              <w:top w:type="dxa" w:w="80"/>
              <w:left w:type="dxa" w:w="100"/>
              <w:bottom w:type="dxa" w:w="80"/>
              <w:right w:type="dxa" w:w="100"/>
            </w:tcMar>
          </w:tcPr>
          <w:p>
            <w:pPr>
              <w:spacing w:after="40"/>
            </w:pPr>
            <w:r>
              <w:rPr>
                <w:b w:val="false"/>
                <w:bCs w:val="false"/>
                <w:sz w:val="19"/>
                <w:szCs w:val="19"/>
              </w:rPr>
              <w:t xml:space="preserve">Build intake form UI + field validation</w:t>
            </w:r>
          </w:p>
        </w:tc>
        <w:tc>
          <w:tcPr>
            <w:tcW w:type="dxa" w:w="1500"/>
            <w:tcMar>
              <w:top w:type="dxa" w:w="80"/>
              <w:left w:type="dxa" w:w="100"/>
              <w:bottom w:type="dxa" w:w="80"/>
              <w:right w:type="dxa" w:w="100"/>
            </w:tcMar>
          </w:tcPr>
          <w:p>
            <w:pPr>
              <w:spacing w:after="40"/>
            </w:pPr>
            <w:r>
              <w:rPr>
                <w:b w:val="false"/>
                <w:bCs w:val="false"/>
                <w:sz w:val="19"/>
                <w:szCs w:val="19"/>
              </w:rPr>
              <w:t xml:space="preserve">Request Intake</w:t>
            </w:r>
          </w:p>
        </w:tc>
        <w:tc>
          <w:tcPr>
            <w:tcW w:type="dxa" w:w="900"/>
            <w:tcMar>
              <w:top w:type="dxa" w:w="80"/>
              <w:left w:type="dxa" w:w="100"/>
              <w:bottom w:type="dxa" w:w="80"/>
              <w:right w:type="dxa" w:w="100"/>
            </w:tcMar>
          </w:tcPr>
          <w:p>
            <w:pPr>
              <w:spacing w:after="40"/>
            </w:pPr>
            <w:r>
              <w:rPr>
                <w:b w:val="false"/>
                <w:bCs w:val="false"/>
                <w:sz w:val="19"/>
                <w:szCs w:val="19"/>
              </w:rPr>
              <w:t xml:space="preserve">Full</w:t>
            </w:r>
          </w:p>
        </w:tc>
        <w:tc>
          <w:tcPr>
            <w:tcW w:type="dxa" w:w="3900"/>
            <w:tcMar>
              <w:top w:type="dxa" w:w="80"/>
              <w:left w:type="dxa" w:w="100"/>
              <w:bottom w:type="dxa" w:w="80"/>
              <w:right w:type="dxa" w:w="100"/>
            </w:tcMar>
          </w:tcPr>
          <w:p>
            <w:pPr>
              <w:spacing w:after="40"/>
            </w:pPr>
            <w:r>
              <w:rPr>
                <w:b w:val="false"/>
                <w:bCs w:val="false"/>
                <w:sz w:val="19"/>
                <w:szCs w:val="19"/>
              </w:rPr>
              <w:t xml:space="preserve">Standard shadcn form pattern; correctness is easy to verify visually and by testing validation messages.</w:t>
            </w:r>
          </w:p>
        </w:tc>
      </w:tr>
      <w:tr>
        <w:tc>
          <w:tcPr>
            <w:tcW w:type="dxa" w:w="2000"/>
            <w:tcMar>
              <w:top w:type="dxa" w:w="80"/>
              <w:left w:type="dxa" w:w="100"/>
              <w:bottom w:type="dxa" w:w="80"/>
              <w:right w:type="dxa" w:w="100"/>
            </w:tcMar>
          </w:tcPr>
          <w:p>
            <w:pPr>
              <w:spacing w:after="40"/>
            </w:pPr>
            <w:r>
              <w:rPr>
                <w:b w:val="false"/>
                <w:bCs w:val="false"/>
                <w:sz w:val="19"/>
                <w:szCs w:val="19"/>
              </w:rPr>
              <w:t xml:space="preserve">Guarantee exactly one ticket per submission</w:t>
            </w:r>
          </w:p>
        </w:tc>
        <w:tc>
          <w:tcPr>
            <w:tcW w:type="dxa" w:w="1500"/>
            <w:tcMar>
              <w:top w:type="dxa" w:w="80"/>
              <w:left w:type="dxa" w:w="100"/>
              <w:bottom w:type="dxa" w:w="80"/>
              <w:right w:type="dxa" w:w="100"/>
            </w:tcMar>
          </w:tcPr>
          <w:p>
            <w:pPr>
              <w:spacing w:after="40"/>
            </w:pPr>
            <w:r>
              <w:rPr>
                <w:b w:val="false"/>
                <w:bCs w:val="false"/>
                <w:sz w:val="19"/>
                <w:szCs w:val="19"/>
              </w:rPr>
              <w:t xml:space="preserve">Request Intake</w:t>
            </w:r>
          </w:p>
        </w:tc>
        <w:tc>
          <w:tcPr>
            <w:tcW w:type="dxa" w:w="900"/>
            <w:tcMar>
              <w:top w:type="dxa" w:w="80"/>
              <w:left w:type="dxa" w:w="100"/>
              <w:bottom w:type="dxa" w:w="80"/>
              <w:right w:type="dxa" w:w="100"/>
            </w:tcMar>
          </w:tcPr>
          <w:p>
            <w:pPr>
              <w:spacing w:after="40"/>
            </w:pPr>
            <w:r>
              <w:rPr>
                <w:b w:val="false"/>
                <w:bCs w:val="false"/>
                <w:sz w:val="19"/>
                <w:szCs w:val="19"/>
              </w:rPr>
              <w:t xml:space="preserve">Partial</w:t>
            </w:r>
          </w:p>
        </w:tc>
        <w:tc>
          <w:tcPr>
            <w:tcW w:type="dxa" w:w="3900"/>
            <w:tcMar>
              <w:top w:type="dxa" w:w="80"/>
              <w:left w:type="dxa" w:w="100"/>
              <w:bottom w:type="dxa" w:w="80"/>
              <w:right w:type="dxa" w:w="100"/>
            </w:tcMar>
          </w:tcPr>
          <w:p>
            <w:pPr>
              <w:spacing w:after="40"/>
            </w:pPr>
            <w:r>
              <w:rPr>
                <w:b w:val="false"/>
                <w:bCs w:val="false"/>
                <w:sz w:val="19"/>
                <w:szCs w:val="19"/>
              </w:rPr>
              <w:t xml:space="preserve">AI can propose a guard, but it must be manually verified under double-click / slow-network conditions — this is exactly the class of bug that looks fixed but isn't (see Section 4).</w:t>
            </w:r>
          </w:p>
        </w:tc>
      </w:tr>
      <w:tr>
        <w:tc>
          <w:tcPr>
            <w:tcW w:type="dxa" w:w="2000"/>
            <w:tcMar>
              <w:top w:type="dxa" w:w="80"/>
              <w:left w:type="dxa" w:w="100"/>
              <w:bottom w:type="dxa" w:w="80"/>
              <w:right w:type="dxa" w:w="100"/>
            </w:tcMar>
          </w:tcPr>
          <w:p>
            <w:pPr>
              <w:spacing w:after="40"/>
            </w:pPr>
            <w:r>
              <w:rPr>
                <w:b w:val="false"/>
                <w:bCs w:val="false"/>
                <w:sz w:val="19"/>
                <w:szCs w:val="19"/>
              </w:rPr>
              <w:t xml:space="preserve">Ticket list views, filters, search</w:t>
            </w:r>
          </w:p>
        </w:tc>
        <w:tc>
          <w:tcPr>
            <w:tcW w:type="dxa" w:w="1500"/>
            <w:tcMar>
              <w:top w:type="dxa" w:w="80"/>
              <w:left w:type="dxa" w:w="100"/>
              <w:bottom w:type="dxa" w:w="80"/>
              <w:right w:type="dxa" w:w="100"/>
            </w:tcMar>
          </w:tcPr>
          <w:p>
            <w:pPr>
              <w:spacing w:after="40"/>
            </w:pPr>
            <w:r>
              <w:rPr>
                <w:b w:val="false"/>
                <w:bCs w:val="false"/>
                <w:sz w:val="19"/>
                <w:szCs w:val="19"/>
              </w:rPr>
              <w:t xml:space="preserve">Request Intake</w:t>
            </w:r>
          </w:p>
        </w:tc>
        <w:tc>
          <w:tcPr>
            <w:tcW w:type="dxa" w:w="900"/>
            <w:tcMar>
              <w:top w:type="dxa" w:w="80"/>
              <w:left w:type="dxa" w:w="100"/>
              <w:bottom w:type="dxa" w:w="80"/>
              <w:right w:type="dxa" w:w="100"/>
            </w:tcMar>
          </w:tcPr>
          <w:p>
            <w:pPr>
              <w:spacing w:after="40"/>
            </w:pPr>
            <w:r>
              <w:rPr>
                <w:b w:val="false"/>
                <w:bCs w:val="false"/>
                <w:sz w:val="19"/>
                <w:szCs w:val="19"/>
              </w:rPr>
              <w:t xml:space="preserve">Full</w:t>
            </w:r>
          </w:p>
        </w:tc>
        <w:tc>
          <w:tcPr>
            <w:tcW w:type="dxa" w:w="3900"/>
            <w:tcMar>
              <w:top w:type="dxa" w:w="80"/>
              <w:left w:type="dxa" w:w="100"/>
              <w:bottom w:type="dxa" w:w="80"/>
              <w:right w:type="dxa" w:w="100"/>
            </w:tcMar>
          </w:tcPr>
          <w:p>
            <w:pPr>
              <w:spacing w:after="40"/>
            </w:pPr>
            <w:r>
              <w:rPr>
                <w:b w:val="false"/>
                <w:bCs w:val="false"/>
                <w:sz w:val="19"/>
                <w:szCs w:val="19"/>
              </w:rPr>
              <w:t xml:space="preserve">Read-only UI over existing data; low risk, easy to visually verify against Firestore.</w:t>
            </w:r>
          </w:p>
        </w:tc>
      </w:tr>
      <w:tr>
        <w:tc>
          <w:tcPr>
            <w:tcW w:type="dxa" w:w="2000"/>
            <w:tcMar>
              <w:top w:type="dxa" w:w="80"/>
              <w:left w:type="dxa" w:w="100"/>
              <w:bottom w:type="dxa" w:w="80"/>
              <w:right w:type="dxa" w:w="100"/>
            </w:tcMar>
          </w:tcPr>
          <w:p>
            <w:pPr>
              <w:spacing w:after="40"/>
            </w:pPr>
            <w:r>
              <w:rPr>
                <w:b w:val="false"/>
                <w:bCs w:val="false"/>
                <w:sz w:val="19"/>
                <w:szCs w:val="19"/>
              </w:rPr>
              <w:t xml:space="preserve">Notification creation on assignment/resolution</w:t>
            </w:r>
          </w:p>
        </w:tc>
        <w:tc>
          <w:tcPr>
            <w:tcW w:type="dxa" w:w="1500"/>
            <w:tcMar>
              <w:top w:type="dxa" w:w="80"/>
              <w:left w:type="dxa" w:w="100"/>
              <w:bottom w:type="dxa" w:w="80"/>
              <w:right w:type="dxa" w:w="100"/>
            </w:tcMar>
          </w:tcPr>
          <w:p>
            <w:pPr>
              <w:spacing w:after="40"/>
            </w:pPr>
            <w:r>
              <w:rPr>
                <w:b w:val="false"/>
                <w:bCs w:val="false"/>
                <w:sz w:val="19"/>
                <w:szCs w:val="19"/>
              </w:rPr>
              <w:t xml:space="preserve">Notifications</w:t>
            </w:r>
          </w:p>
        </w:tc>
        <w:tc>
          <w:tcPr>
            <w:tcW w:type="dxa" w:w="900"/>
            <w:tcMar>
              <w:top w:type="dxa" w:w="80"/>
              <w:left w:type="dxa" w:w="100"/>
              <w:bottom w:type="dxa" w:w="80"/>
              <w:right w:type="dxa" w:w="100"/>
            </w:tcMar>
          </w:tcPr>
          <w:p>
            <w:pPr>
              <w:spacing w:after="40"/>
            </w:pPr>
            <w:r>
              <w:rPr>
                <w:b w:val="false"/>
                <w:bCs w:val="false"/>
                <w:sz w:val="19"/>
                <w:szCs w:val="19"/>
              </w:rPr>
              <w:t xml:space="preserve">Full</w:t>
            </w:r>
          </w:p>
        </w:tc>
        <w:tc>
          <w:tcPr>
            <w:tcW w:type="dxa" w:w="3900"/>
            <w:tcMar>
              <w:top w:type="dxa" w:w="80"/>
              <w:left w:type="dxa" w:w="100"/>
              <w:bottom w:type="dxa" w:w="80"/>
              <w:right w:type="dxa" w:w="100"/>
            </w:tcMar>
          </w:tcPr>
          <w:p>
            <w:pPr>
              <w:spacing w:after="40"/>
            </w:pPr>
            <w:r>
              <w:rPr>
                <w:b w:val="false"/>
                <w:bCs w:val="false"/>
                <w:sz w:val="19"/>
                <w:szCs w:val="19"/>
              </w:rPr>
              <w:t xml:space="preserve">Mechanical trigger-and-write logic, easy to test with a real state change.</w:t>
            </w:r>
          </w:p>
        </w:tc>
      </w:tr>
      <w:tr>
        <w:tc>
          <w:tcPr>
            <w:tcW w:type="dxa" w:w="2000"/>
            <w:tcMar>
              <w:top w:type="dxa" w:w="80"/>
              <w:left w:type="dxa" w:w="100"/>
              <w:bottom w:type="dxa" w:w="80"/>
              <w:right w:type="dxa" w:w="100"/>
            </w:tcMar>
          </w:tcPr>
          <w:p>
            <w:pPr>
              <w:spacing w:after="40"/>
            </w:pPr>
            <w:r>
              <w:rPr>
                <w:b w:val="false"/>
                <w:bCs w:val="false"/>
                <w:sz w:val="19"/>
                <w:szCs w:val="19"/>
              </w:rPr>
              <w:t xml:space="preserve">Notification de-duplication rule</w:t>
            </w:r>
          </w:p>
        </w:tc>
        <w:tc>
          <w:tcPr>
            <w:tcW w:type="dxa" w:w="1500"/>
            <w:tcMar>
              <w:top w:type="dxa" w:w="80"/>
              <w:left w:type="dxa" w:w="100"/>
              <w:bottom w:type="dxa" w:w="80"/>
              <w:right w:type="dxa" w:w="100"/>
            </w:tcMar>
          </w:tcPr>
          <w:p>
            <w:pPr>
              <w:spacing w:after="40"/>
            </w:pPr>
            <w:r>
              <w:rPr>
                <w:b w:val="false"/>
                <w:bCs w:val="false"/>
                <w:sz w:val="19"/>
                <w:szCs w:val="19"/>
              </w:rPr>
              <w:t xml:space="preserve">Notifications</w:t>
            </w:r>
          </w:p>
        </w:tc>
        <w:tc>
          <w:tcPr>
            <w:tcW w:type="dxa" w:w="900"/>
            <w:tcMar>
              <w:top w:type="dxa" w:w="80"/>
              <w:left w:type="dxa" w:w="100"/>
              <w:bottom w:type="dxa" w:w="80"/>
              <w:right w:type="dxa" w:w="100"/>
            </w:tcMar>
          </w:tcPr>
          <w:p>
            <w:pPr>
              <w:spacing w:after="40"/>
            </w:pPr>
            <w:r>
              <w:rPr>
                <w:b w:val="false"/>
                <w:bCs w:val="false"/>
                <w:sz w:val="19"/>
                <w:szCs w:val="19"/>
              </w:rPr>
              <w:t xml:space="preserve">Partial</w:t>
            </w:r>
          </w:p>
        </w:tc>
        <w:tc>
          <w:tcPr>
            <w:tcW w:type="dxa" w:w="3900"/>
            <w:tcMar>
              <w:top w:type="dxa" w:w="80"/>
              <w:left w:type="dxa" w:w="100"/>
              <w:bottom w:type="dxa" w:w="80"/>
              <w:right w:type="dxa" w:w="100"/>
            </w:tcMar>
          </w:tcPr>
          <w:p>
            <w:pPr>
              <w:spacing w:after="40"/>
            </w:pPr>
            <w:r>
              <w:rPr>
                <w:b w:val="false"/>
                <w:bCs w:val="false"/>
                <w:sz w:val="19"/>
                <w:szCs w:val="19"/>
              </w:rPr>
              <w:t xml:space="preserve">What counts as “one event” is a product decision, not a coding one; AI implements the rule once a human defines it.</w:t>
            </w:r>
          </w:p>
        </w:tc>
      </w:tr>
      <w:tr>
        <w:tc>
          <w:tcPr>
            <w:tcW w:type="dxa" w:w="2000"/>
            <w:tcMar>
              <w:top w:type="dxa" w:w="80"/>
              <w:left w:type="dxa" w:w="100"/>
              <w:bottom w:type="dxa" w:w="80"/>
              <w:right w:type="dxa" w:w="100"/>
            </w:tcMar>
          </w:tcPr>
          <w:p>
            <w:pPr>
              <w:spacing w:after="40"/>
            </w:pPr>
            <w:r>
              <w:rPr>
                <w:b w:val="false"/>
                <w:bCs w:val="false"/>
                <w:sz w:val="19"/>
                <w:szCs w:val="19"/>
              </w:rPr>
              <w:t xml:space="preserve">Status counts &amp; workload aggregation</w:t>
            </w:r>
          </w:p>
        </w:tc>
        <w:tc>
          <w:tcPr>
            <w:tcW w:type="dxa" w:w="1500"/>
            <w:tcMar>
              <w:top w:type="dxa" w:w="80"/>
              <w:left w:type="dxa" w:w="100"/>
              <w:bottom w:type="dxa" w:w="80"/>
              <w:right w:type="dxa" w:w="100"/>
            </w:tcMar>
          </w:tcPr>
          <w:p>
            <w:pPr>
              <w:spacing w:after="40"/>
            </w:pPr>
            <w:r>
              <w:rPr>
                <w:b w:val="false"/>
                <w:bCs w:val="false"/>
                <w:sz w:val="19"/>
                <w:szCs w:val="19"/>
              </w:rPr>
              <w:t xml:space="preserve">Manager Visibility</w:t>
            </w:r>
          </w:p>
        </w:tc>
        <w:tc>
          <w:tcPr>
            <w:tcW w:type="dxa" w:w="900"/>
            <w:tcMar>
              <w:top w:type="dxa" w:w="80"/>
              <w:left w:type="dxa" w:w="100"/>
              <w:bottom w:type="dxa" w:w="80"/>
              <w:right w:type="dxa" w:w="100"/>
            </w:tcMar>
          </w:tcPr>
          <w:p>
            <w:pPr>
              <w:spacing w:after="40"/>
            </w:pPr>
            <w:r>
              <w:rPr>
                <w:b w:val="false"/>
                <w:bCs w:val="false"/>
                <w:sz w:val="19"/>
                <w:szCs w:val="19"/>
              </w:rPr>
              <w:t xml:space="preserve">Full</w:t>
            </w:r>
          </w:p>
        </w:tc>
        <w:tc>
          <w:tcPr>
            <w:tcW w:type="dxa" w:w="3900"/>
            <w:tcMar>
              <w:top w:type="dxa" w:w="80"/>
              <w:left w:type="dxa" w:w="100"/>
              <w:bottom w:type="dxa" w:w="80"/>
              <w:right w:type="dxa" w:w="100"/>
            </w:tcMar>
          </w:tcPr>
          <w:p>
            <w:pPr>
              <w:spacing w:after="40"/>
            </w:pPr>
            <w:r>
              <w:rPr>
                <w:b w:val="false"/>
                <w:bCs w:val="false"/>
                <w:sz w:val="19"/>
                <w:szCs w:val="19"/>
              </w:rPr>
              <w:t xml:space="preserve">Read-only aggregation over existing data, verifiable against the raw ticket list.</w:t>
            </w:r>
          </w:p>
        </w:tc>
      </w:tr>
      <w:tr>
        <w:tc>
          <w:tcPr>
            <w:tcW w:type="dxa" w:w="2000"/>
            <w:tcMar>
              <w:top w:type="dxa" w:w="80"/>
              <w:left w:type="dxa" w:w="100"/>
              <w:bottom w:type="dxa" w:w="80"/>
              <w:right w:type="dxa" w:w="100"/>
            </w:tcMar>
          </w:tcPr>
          <w:p>
            <w:pPr>
              <w:spacing w:after="40"/>
            </w:pPr>
            <w:r>
              <w:rPr>
                <w:b w:val="false"/>
                <w:bCs w:val="false"/>
                <w:sz w:val="19"/>
                <w:szCs w:val="19"/>
              </w:rPr>
              <w:t xml:space="preserve">Aging / overdue threshold logic</w:t>
            </w:r>
          </w:p>
        </w:tc>
        <w:tc>
          <w:tcPr>
            <w:tcW w:type="dxa" w:w="1500"/>
            <w:tcMar>
              <w:top w:type="dxa" w:w="80"/>
              <w:left w:type="dxa" w:w="100"/>
              <w:bottom w:type="dxa" w:w="80"/>
              <w:right w:type="dxa" w:w="100"/>
            </w:tcMar>
          </w:tcPr>
          <w:p>
            <w:pPr>
              <w:spacing w:after="40"/>
            </w:pPr>
            <w:r>
              <w:rPr>
                <w:b w:val="false"/>
                <w:bCs w:val="false"/>
                <w:sz w:val="19"/>
                <w:szCs w:val="19"/>
              </w:rPr>
              <w:t xml:space="preserve">Manager Visibility</w:t>
            </w:r>
          </w:p>
        </w:tc>
        <w:tc>
          <w:tcPr>
            <w:tcW w:type="dxa" w:w="900"/>
            <w:tcMar>
              <w:top w:type="dxa" w:w="80"/>
              <w:left w:type="dxa" w:w="100"/>
              <w:bottom w:type="dxa" w:w="80"/>
              <w:right w:type="dxa" w:w="100"/>
            </w:tcMar>
          </w:tcPr>
          <w:p>
            <w:pPr>
              <w:spacing w:after="40"/>
            </w:pPr>
            <w:r>
              <w:rPr>
                <w:b w:val="false"/>
                <w:bCs w:val="false"/>
                <w:sz w:val="19"/>
                <w:szCs w:val="19"/>
              </w:rPr>
              <w:t xml:space="preserve">Partial</w:t>
            </w:r>
          </w:p>
        </w:tc>
        <w:tc>
          <w:tcPr>
            <w:tcW w:type="dxa" w:w="3900"/>
            <w:tcMar>
              <w:top w:type="dxa" w:w="80"/>
              <w:left w:type="dxa" w:w="100"/>
              <w:bottom w:type="dxa" w:w="80"/>
              <w:right w:type="dxa" w:w="100"/>
            </w:tcMar>
          </w:tcPr>
          <w:p>
            <w:pPr>
              <w:spacing w:after="40"/>
            </w:pPr>
            <w:r>
              <w:rPr>
                <w:b w:val="false"/>
                <w:bCs w:val="false"/>
                <w:sz w:val="19"/>
                <w:szCs w:val="19"/>
              </w:rPr>
              <w:t xml:space="preserve">The overdue threshold is a business decision from the Day 1 assumptions; AI implements it, does not choose it.</w:t>
            </w:r>
          </w:p>
        </w:tc>
      </w:tr>
      <w:tr>
        <w:tc>
          <w:tcPr>
            <w:tcW w:type="dxa" w:w="2000"/>
            <w:tcMar>
              <w:top w:type="dxa" w:w="80"/>
              <w:left w:type="dxa" w:w="100"/>
              <w:bottom w:type="dxa" w:w="80"/>
              <w:right w:type="dxa" w:w="100"/>
            </w:tcMar>
          </w:tcPr>
          <w:p>
            <w:pPr>
              <w:spacing w:after="40"/>
            </w:pPr>
            <w:r>
              <w:rPr>
                <w:b w:val="false"/>
                <w:bCs w:val="false"/>
                <w:sz w:val="19"/>
                <w:szCs w:val="19"/>
              </w:rPr>
              <w:t xml:space="preserve">UI route guards (page-level access)</w:t>
            </w:r>
          </w:p>
        </w:tc>
        <w:tc>
          <w:tcPr>
            <w:tcW w:type="dxa" w:w="1500"/>
            <w:tcMar>
              <w:top w:type="dxa" w:w="80"/>
              <w:left w:type="dxa" w:w="100"/>
              <w:bottom w:type="dxa" w:w="80"/>
              <w:right w:type="dxa" w:w="100"/>
            </w:tcMar>
          </w:tcPr>
          <w:p>
            <w:pPr>
              <w:spacing w:after="40"/>
            </w:pPr>
            <w:r>
              <w:rPr>
                <w:b w:val="false"/>
                <w:bCs w:val="false"/>
                <w:sz w:val="19"/>
                <w:szCs w:val="19"/>
              </w:rPr>
              <w:t xml:space="preserve">Access &amp; Roles</w:t>
            </w:r>
          </w:p>
        </w:tc>
        <w:tc>
          <w:tcPr>
            <w:tcW w:type="dxa" w:w="900"/>
            <w:tcMar>
              <w:top w:type="dxa" w:w="80"/>
              <w:left w:type="dxa" w:w="100"/>
              <w:bottom w:type="dxa" w:w="80"/>
              <w:right w:type="dxa" w:w="100"/>
            </w:tcMar>
          </w:tcPr>
          <w:p>
            <w:pPr>
              <w:spacing w:after="40"/>
            </w:pPr>
            <w:r>
              <w:rPr>
                <w:b w:val="false"/>
                <w:bCs w:val="false"/>
                <w:sz w:val="19"/>
                <w:szCs w:val="19"/>
              </w:rPr>
              <w:t xml:space="preserve">Full</w:t>
            </w:r>
          </w:p>
        </w:tc>
        <w:tc>
          <w:tcPr>
            <w:tcW w:type="dxa" w:w="3900"/>
            <w:tcMar>
              <w:top w:type="dxa" w:w="80"/>
              <w:left w:type="dxa" w:w="100"/>
              <w:bottom w:type="dxa" w:w="80"/>
              <w:right w:type="dxa" w:w="100"/>
            </w:tcMar>
          </w:tcPr>
          <w:p>
            <w:pPr>
              <w:spacing w:after="40"/>
            </w:pPr>
            <w:r>
              <w:rPr>
                <w:b w:val="false"/>
                <w:bCs w:val="false"/>
                <w:sz w:val="19"/>
                <w:szCs w:val="19"/>
              </w:rPr>
              <w:t xml:space="preserve">Standard pattern, but never treated as the real security boundary on its own.</w:t>
            </w:r>
          </w:p>
        </w:tc>
      </w:tr>
      <w:tr>
        <w:tc>
          <w:tcPr>
            <w:tcW w:type="dxa" w:w="2000"/>
            <w:tcMar>
              <w:top w:type="dxa" w:w="80"/>
              <w:left w:type="dxa" w:w="100"/>
              <w:bottom w:type="dxa" w:w="80"/>
              <w:right w:type="dxa" w:w="100"/>
            </w:tcMar>
          </w:tcPr>
          <w:p>
            <w:pPr>
              <w:spacing w:after="40"/>
            </w:pPr>
            <w:r>
              <w:rPr>
                <w:b w:val="false"/>
                <w:bCs w:val="false"/>
                <w:sz w:val="19"/>
                <w:szCs w:val="19"/>
              </w:rPr>
              <w:t xml:space="preserve">Firestore Security Rules</w:t>
            </w:r>
          </w:p>
        </w:tc>
        <w:tc>
          <w:tcPr>
            <w:tcW w:type="dxa" w:w="1500"/>
            <w:tcMar>
              <w:top w:type="dxa" w:w="80"/>
              <w:left w:type="dxa" w:w="100"/>
              <w:bottom w:type="dxa" w:w="80"/>
              <w:right w:type="dxa" w:w="100"/>
            </w:tcMar>
          </w:tcPr>
          <w:p>
            <w:pPr>
              <w:spacing w:after="40"/>
            </w:pPr>
            <w:r>
              <w:rPr>
                <w:b w:val="false"/>
                <w:bCs w:val="false"/>
                <w:sz w:val="19"/>
                <w:szCs w:val="19"/>
              </w:rPr>
              <w:t xml:space="preserve">Access &amp; Roles</w:t>
            </w:r>
          </w:p>
        </w:tc>
        <w:tc>
          <w:tcPr>
            <w:tcW w:type="dxa" w:w="900"/>
            <w:tcMar>
              <w:top w:type="dxa" w:w="80"/>
              <w:left w:type="dxa" w:w="100"/>
              <w:bottom w:type="dxa" w:w="80"/>
              <w:right w:type="dxa" w:w="100"/>
            </w:tcMar>
          </w:tcPr>
          <w:p>
            <w:pPr>
              <w:spacing w:after="40"/>
            </w:pPr>
            <w:r>
              <w:rPr>
                <w:b w:val="false"/>
                <w:bCs w:val="false"/>
                <w:sz w:val="19"/>
                <w:szCs w:val="19"/>
              </w:rPr>
              <w:t xml:space="preserve">None (human-authored, AI-reviewed at most)</w:t>
            </w:r>
          </w:p>
        </w:tc>
        <w:tc>
          <w:tcPr>
            <w:tcW w:type="dxa" w:w="3900"/>
            <w:tcMar>
              <w:top w:type="dxa" w:w="80"/>
              <w:left w:type="dxa" w:w="100"/>
              <w:bottom w:type="dxa" w:w="80"/>
              <w:right w:type="dxa" w:w="100"/>
            </w:tcMar>
          </w:tcPr>
          <w:p>
            <w:pPr>
              <w:spacing w:after="40"/>
            </w:pPr>
            <w:r>
              <w:rPr>
                <w:b w:val="false"/>
                <w:bCs w:val="false"/>
                <w:sz w:val="19"/>
                <w:szCs w:val="19"/>
              </w:rPr>
              <w:t xml:space="preserve">Rules are the actual authorization boundary; a subtle mistake here silently exposes another user's data. Every rule is manually written or reviewed and tested with an allowed and a denied case before merging.</w:t>
            </w:r>
          </w:p>
        </w:tc>
      </w:tr>
      <w:tr>
        <w:tc>
          <w:tcPr>
            <w:tcW w:type="dxa" w:w="2000"/>
            <w:tcMar>
              <w:top w:type="dxa" w:w="80"/>
              <w:left w:type="dxa" w:w="100"/>
              <w:bottom w:type="dxa" w:w="80"/>
              <w:right w:type="dxa" w:w="100"/>
            </w:tcMar>
          </w:tcPr>
          <w:p>
            <w:pPr>
              <w:spacing w:after="40"/>
            </w:pPr>
            <w:r>
              <w:rPr>
                <w:b w:val="false"/>
                <w:bCs w:val="false"/>
                <w:sz w:val="19"/>
                <w:szCs w:val="19"/>
              </w:rPr>
              <w:t xml:space="preserve">Scope decisions, sign-off, RACI, non-goals (OQ1–OQ6)</w:t>
            </w:r>
          </w:p>
        </w:tc>
        <w:tc>
          <w:tcPr>
            <w:tcW w:type="dxa" w:w="1500"/>
            <w:tcMar>
              <w:top w:type="dxa" w:w="80"/>
              <w:left w:type="dxa" w:w="100"/>
              <w:bottom w:type="dxa" w:w="80"/>
              <w:right w:type="dxa" w:w="100"/>
            </w:tcMar>
          </w:tcPr>
          <w:p>
            <w:pPr>
              <w:spacing w:after="40"/>
            </w:pPr>
            <w:r>
              <w:rPr>
                <w:b w:val="false"/>
                <w:bCs w:val="false"/>
                <w:sz w:val="19"/>
                <w:szCs w:val="19"/>
              </w:rPr>
              <w:t xml:space="preserve">Discovery &amp; Requirement Decisions</w:t>
            </w:r>
          </w:p>
        </w:tc>
        <w:tc>
          <w:tcPr>
            <w:tcW w:type="dxa" w:w="900"/>
            <w:tcMar>
              <w:top w:type="dxa" w:w="80"/>
              <w:left w:type="dxa" w:w="100"/>
              <w:bottom w:type="dxa" w:w="80"/>
              <w:right w:type="dxa" w:w="100"/>
            </w:tcMar>
          </w:tcPr>
          <w:p>
            <w:pPr>
              <w:spacing w:after="40"/>
            </w:pPr>
            <w:r>
              <w:rPr>
                <w:b w:val="false"/>
                <w:bCs w:val="false"/>
                <w:sz w:val="19"/>
                <w:szCs w:val="19"/>
              </w:rPr>
              <w:t xml:space="preserve">None</w:t>
            </w:r>
          </w:p>
        </w:tc>
        <w:tc>
          <w:tcPr>
            <w:tcW w:type="dxa" w:w="3900"/>
            <w:tcMar>
              <w:top w:type="dxa" w:w="80"/>
              <w:left w:type="dxa" w:w="100"/>
              <w:bottom w:type="dxa" w:w="80"/>
              <w:right w:type="dxa" w:w="100"/>
            </w:tcMar>
          </w:tcPr>
          <w:p>
            <w:pPr>
              <w:spacing w:after="40"/>
            </w:pPr>
            <w:r>
              <w:rPr>
                <w:b w:val="false"/>
                <w:bCs w:val="false"/>
                <w:sz w:val="19"/>
                <w:szCs w:val="19"/>
              </w:rPr>
              <w:t xml:space="preserve">These are stakeholder business decisions. AI may help format or summarize a decision once humans make it, but must not originate the answer.</w:t>
            </w:r>
          </w:p>
        </w:tc>
      </w:tr>
      <w:tr>
        <w:tc>
          <w:tcPr>
            <w:tcW w:type="dxa" w:w="2000"/>
            <w:tcMar>
              <w:top w:type="dxa" w:w="80"/>
              <w:left w:type="dxa" w:w="100"/>
              <w:bottom w:type="dxa" w:w="80"/>
              <w:right w:type="dxa" w:w="100"/>
            </w:tcMar>
          </w:tcPr>
          <w:p>
            <w:pPr>
              <w:spacing w:after="40"/>
            </w:pPr>
            <w:r>
              <w:rPr>
                <w:b w:val="false"/>
                <w:bCs w:val="false"/>
                <w:sz w:val="19"/>
                <w:szCs w:val="19"/>
              </w:rPr>
              <w:t xml:space="preserve">Apply the human-specified design system (tokens, fonts, components)</w:t>
            </w:r>
          </w:p>
        </w:tc>
        <w:tc>
          <w:tcPr>
            <w:tcW w:type="dxa" w:w="1500"/>
            <w:tcMar>
              <w:top w:type="dxa" w:w="80"/>
              <w:left w:type="dxa" w:w="100"/>
              <w:bottom w:type="dxa" w:w="80"/>
              <w:right w:type="dxa" w:w="100"/>
            </w:tcMar>
          </w:tcPr>
          <w:p>
            <w:pPr>
              <w:spacing w:after="40"/>
            </w:pPr>
            <w:r>
              <w:rPr>
                <w:b w:val="false"/>
                <w:bCs w:val="false"/>
                <w:sz w:val="19"/>
                <w:szCs w:val="19"/>
              </w:rPr>
              <w:t xml:space="preserve">Cross-cutting (UI)</w:t>
            </w:r>
          </w:p>
        </w:tc>
        <w:tc>
          <w:tcPr>
            <w:tcW w:type="dxa" w:w="900"/>
            <w:tcMar>
              <w:top w:type="dxa" w:w="80"/>
              <w:left w:type="dxa" w:w="100"/>
              <w:bottom w:type="dxa" w:w="80"/>
              <w:right w:type="dxa" w:w="100"/>
            </w:tcMar>
          </w:tcPr>
          <w:p>
            <w:pPr>
              <w:spacing w:after="40"/>
            </w:pPr>
            <w:r>
              <w:rPr>
                <w:b w:val="false"/>
                <w:bCs w:val="false"/>
                <w:sz w:val="19"/>
                <w:szCs w:val="19"/>
              </w:rPr>
              <w:t xml:space="preserve">Full</w:t>
            </w:r>
          </w:p>
        </w:tc>
        <w:tc>
          <w:tcPr>
            <w:tcW w:type="dxa" w:w="3900"/>
            <w:tcMar>
              <w:top w:type="dxa" w:w="80"/>
              <w:left w:type="dxa" w:w="100"/>
              <w:bottom w:type="dxa" w:w="80"/>
              <w:right w:type="dxa" w:w="100"/>
            </w:tcMar>
          </w:tcPr>
          <w:p>
            <w:pPr>
              <w:spacing w:after="40"/>
            </w:pPr>
            <w:r>
              <w:rPr>
                <w:b w:val="false"/>
                <w:bCs w:val="false"/>
                <w:sz w:val="19"/>
                <w:szCs w:val="19"/>
              </w:rPr>
              <w:t xml:space="preserve">The design direction was human-specified; AI executes CSS/Tailwind mechanically and the result is verified visually via screenshot.</w:t>
            </w:r>
          </w:p>
        </w:tc>
      </w:tr>
    </w:tbl>
    <w:p>
      <w:pPr>
        <w:pStyle w:val="Heading1"/>
        <w:spacing w:after="160" w:before="320"/>
      </w:pPr>
      <w:r>
        <w:t xml:space="preserve">2. Context and Access Plan</w:t>
      </w:r>
    </w:p>
    <w:p>
      <w:pPr>
        <w:spacing w:after="160"/>
      </w:pPr>
      <w:r>
        <w:t xml:space="preserve">Context and access levels are defined per task type, and access is never broader than the task needs.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2800"/>
      </w:tblGrid>
      <w:tr>
        <w:trPr>
          <w:tblHeader/>
        </w:trPr>
        <w:tc>
          <w:tcPr>
            <w:tcW w:type="dxa" w:w="2300"/>
            <w:shd w:fill="D9E2F3" w:color="auto" w:val="clear"/>
            <w:tcMar>
              <w:top w:type="dxa" w:w="80"/>
              <w:left w:type="dxa" w:w="100"/>
              <w:bottom w:type="dxa" w:w="80"/>
              <w:right w:type="dxa" w:w="100"/>
            </w:tcMar>
          </w:tcPr>
          <w:p>
            <w:pPr>
              <w:spacing w:after="40"/>
            </w:pPr>
            <w:r>
              <w:rPr>
                <w:b/>
                <w:bCs/>
                <w:sz w:val="19"/>
                <w:szCs w:val="19"/>
              </w:rPr>
              <w:t xml:space="preserve">Interaction type</w:t>
            </w:r>
          </w:p>
        </w:tc>
        <w:tc>
          <w:tcPr>
            <w:tcW w:type="dxa" w:w="3300"/>
            <w:shd w:fill="D9E2F3" w:color="auto" w:val="clear"/>
            <w:tcMar>
              <w:top w:type="dxa" w:w="80"/>
              <w:left w:type="dxa" w:w="100"/>
              <w:bottom w:type="dxa" w:w="80"/>
              <w:right w:type="dxa" w:w="100"/>
            </w:tcMar>
          </w:tcPr>
          <w:p>
            <w:pPr>
              <w:spacing w:after="40"/>
            </w:pPr>
            <w:r>
              <w:rPr>
                <w:b/>
                <w:bCs/>
                <w:sz w:val="19"/>
                <w:szCs w:val="19"/>
              </w:rPr>
              <w:t xml:space="preserve">What it can access</w:t>
            </w:r>
          </w:p>
        </w:tc>
        <w:tc>
          <w:tcPr>
            <w:tcW w:type="dxa" w:w="2800"/>
            <w:shd w:fill="D9E2F3" w:color="auto" w:val="clear"/>
            <w:tcMar>
              <w:top w:type="dxa" w:w="80"/>
              <w:left w:type="dxa" w:w="100"/>
              <w:bottom w:type="dxa" w:w="80"/>
              <w:right w:type="dxa" w:w="100"/>
            </w:tcMar>
          </w:tcPr>
          <w:p>
            <w:pPr>
              <w:spacing w:after="40"/>
            </w:pPr>
            <w:r>
              <w:rPr>
                <w:b/>
                <w:bCs/>
                <w:sz w:val="19"/>
                <w:szCs w:val="19"/>
              </w:rPr>
              <w:t xml:space="preserve">Why bounded this way</w:t>
            </w:r>
          </w:p>
        </w:tc>
      </w:tr>
      <w:tr>
        <w:tc>
          <w:tcPr>
            <w:tcW w:type="dxa" w:w="2300"/>
            <w:tcMar>
              <w:top w:type="dxa" w:w="80"/>
              <w:left w:type="dxa" w:w="100"/>
              <w:bottom w:type="dxa" w:w="80"/>
              <w:right w:type="dxa" w:w="100"/>
            </w:tcMar>
          </w:tcPr>
          <w:p>
            <w:pPr>
              <w:spacing w:after="40"/>
            </w:pPr>
            <w:r>
              <w:rPr>
                <w:b w:val="false"/>
                <w:bCs w:val="false"/>
                <w:sz w:val="19"/>
                <w:szCs w:val="19"/>
              </w:rPr>
              <w:t xml:space="preserve">UI component tasks (a form, a list, a button)</w:t>
            </w:r>
          </w:p>
        </w:tc>
        <w:tc>
          <w:tcPr>
            <w:tcW w:type="dxa" w:w="3300"/>
            <w:tcMar>
              <w:top w:type="dxa" w:w="80"/>
              <w:left w:type="dxa" w:w="100"/>
              <w:bottom w:type="dxa" w:w="80"/>
              <w:right w:type="dxa" w:w="100"/>
            </w:tcMar>
          </w:tcPr>
          <w:p>
            <w:pPr>
              <w:spacing w:after="40"/>
            </w:pPr>
            <w:r>
              <w:rPr>
                <w:b w:val="false"/>
                <w:bCs w:val="false"/>
                <w:sz w:val="19"/>
                <w:szCs w:val="19"/>
              </w:rPr>
              <w:t xml:space="preserve">The single component file + the shared design-token file (globals.css / tailwind.config)</w:t>
            </w:r>
          </w:p>
        </w:tc>
        <w:tc>
          <w:tcPr>
            <w:tcW w:type="dxa" w:w="2800"/>
            <w:tcMar>
              <w:top w:type="dxa" w:w="80"/>
              <w:left w:type="dxa" w:w="100"/>
              <w:bottom w:type="dxa" w:w="80"/>
              <w:right w:type="dxa" w:w="100"/>
            </w:tcMar>
          </w:tcPr>
          <w:p>
            <w:pPr>
              <w:spacing w:after="40"/>
            </w:pPr>
            <w:r>
              <w:rPr>
                <w:b w:val="false"/>
                <w:bCs w:val="false"/>
                <w:sz w:val="19"/>
                <w:szCs w:val="19"/>
              </w:rPr>
              <w:t xml:space="preserve">Component work rarely needs the rest of the app; broader access raises the chance the AI “fixes” something unrelated.</w:t>
            </w:r>
          </w:p>
        </w:tc>
      </w:tr>
      <w:tr>
        <w:tc>
          <w:tcPr>
            <w:tcW w:type="dxa" w:w="2300"/>
            <w:tcMar>
              <w:top w:type="dxa" w:w="80"/>
              <w:left w:type="dxa" w:w="100"/>
              <w:bottom w:type="dxa" w:w="80"/>
              <w:right w:type="dxa" w:w="100"/>
            </w:tcMar>
          </w:tcPr>
          <w:p>
            <w:pPr>
              <w:spacing w:after="40"/>
            </w:pPr>
            <w:r>
              <w:rPr>
                <w:b w:val="false"/>
                <w:bCs w:val="false"/>
                <w:sz w:val="19"/>
                <w:szCs w:val="19"/>
              </w:rPr>
              <w:t xml:space="preserve">Data model / Firestore rules tasks</w:t>
            </w:r>
          </w:p>
        </w:tc>
        <w:tc>
          <w:tcPr>
            <w:tcW w:type="dxa" w:w="3300"/>
            <w:tcMar>
              <w:top w:type="dxa" w:w="80"/>
              <w:left w:type="dxa" w:w="100"/>
              <w:bottom w:type="dxa" w:w="80"/>
              <w:right w:type="dxa" w:w="100"/>
            </w:tcMar>
          </w:tcPr>
          <w:p>
            <w:pPr>
              <w:spacing w:after="40"/>
            </w:pPr>
            <w:r>
              <w:rPr>
                <w:b w:val="false"/>
                <w:bCs w:val="false"/>
                <w:sz w:val="19"/>
                <w:szCs w:val="19"/>
              </w:rPr>
              <w:t xml:space="preserve">The relevant rules file + the data model reference (Section 3 of the build plan) + one example document from the collection</w:t>
            </w:r>
          </w:p>
        </w:tc>
        <w:tc>
          <w:tcPr>
            <w:tcW w:type="dxa" w:w="2800"/>
            <w:tcMar>
              <w:top w:type="dxa" w:w="80"/>
              <w:left w:type="dxa" w:w="100"/>
              <w:bottom w:type="dxa" w:w="80"/>
              <w:right w:type="dxa" w:w="100"/>
            </w:tcMar>
          </w:tcPr>
          <w:p>
            <w:pPr>
              <w:spacing w:after="40"/>
            </w:pPr>
            <w:r>
              <w:rPr>
                <w:b w:val="false"/>
                <w:bCs w:val="false"/>
                <w:sz w:val="19"/>
                <w:szCs w:val="19"/>
              </w:rPr>
              <w:t xml:space="preserve">Rules need the schema and existing collections, not the UI layer.</w:t>
            </w:r>
          </w:p>
        </w:tc>
      </w:tr>
      <w:tr>
        <w:tc>
          <w:tcPr>
            <w:tcW w:type="dxa" w:w="2300"/>
            <w:tcMar>
              <w:top w:type="dxa" w:w="80"/>
              <w:left w:type="dxa" w:w="100"/>
              <w:bottom w:type="dxa" w:w="80"/>
              <w:right w:type="dxa" w:w="100"/>
            </w:tcMar>
          </w:tcPr>
          <w:p>
            <w:pPr>
              <w:spacing w:after="40"/>
            </w:pPr>
            <w:r>
              <w:rPr>
                <w:b w:val="false"/>
                <w:bCs w:val="false"/>
                <w:sz w:val="19"/>
                <w:szCs w:val="19"/>
              </w:rPr>
              <w:t xml:space="preserve">Bug investigation</w:t>
            </w:r>
          </w:p>
        </w:tc>
        <w:tc>
          <w:tcPr>
            <w:tcW w:type="dxa" w:w="3300"/>
            <w:tcMar>
              <w:top w:type="dxa" w:w="80"/>
              <w:left w:type="dxa" w:w="100"/>
              <w:bottom w:type="dxa" w:w="80"/>
              <w:right w:type="dxa" w:w="100"/>
            </w:tcMar>
          </w:tcPr>
          <w:p>
            <w:pPr>
              <w:spacing w:after="40"/>
            </w:pPr>
            <w:r>
              <w:rPr>
                <w:b w:val="false"/>
                <w:bCs w:val="false"/>
                <w:sz w:val="19"/>
                <w:szCs w:val="19"/>
              </w:rPr>
              <w:t xml:space="preserve">The failing file(s), the relevant log/error/network output, and the ticket's acceptance criteria</w:t>
            </w:r>
          </w:p>
        </w:tc>
        <w:tc>
          <w:tcPr>
            <w:tcW w:type="dxa" w:w="2800"/>
            <w:tcMar>
              <w:top w:type="dxa" w:w="80"/>
              <w:left w:type="dxa" w:w="100"/>
              <w:bottom w:type="dxa" w:w="80"/>
              <w:right w:type="dxa" w:w="100"/>
            </w:tcMar>
          </w:tcPr>
          <w:p>
            <w:pPr>
              <w:spacing w:after="40"/>
            </w:pPr>
            <w:r>
              <w:rPr>
                <w:b w:val="false"/>
                <w:bCs w:val="false"/>
                <w:sz w:val="19"/>
                <w:szCs w:val="19"/>
              </w:rPr>
              <w:t xml:space="preserve">Prompt-only bug reports without logs or a repro step lead to guessed fixes instead of evidence-based ones.</w:t>
            </w:r>
          </w:p>
        </w:tc>
      </w:tr>
      <w:tr>
        <w:tc>
          <w:tcPr>
            <w:tcW w:type="dxa" w:w="2300"/>
            <w:tcMar>
              <w:top w:type="dxa" w:w="80"/>
              <w:left w:type="dxa" w:w="100"/>
              <w:bottom w:type="dxa" w:w="80"/>
              <w:right w:type="dxa" w:w="100"/>
            </w:tcMar>
          </w:tcPr>
          <w:p>
            <w:pPr>
              <w:spacing w:after="40"/>
            </w:pPr>
            <w:r>
              <w:rPr>
                <w:b w:val="false"/>
                <w:bCs w:val="false"/>
                <w:sz w:val="19"/>
                <w:szCs w:val="19"/>
              </w:rPr>
              <w:t xml:space="preserve">Cross-cutting change (e.g., renaming a status value)</w:t>
            </w:r>
          </w:p>
        </w:tc>
        <w:tc>
          <w:tcPr>
            <w:tcW w:type="dxa" w:w="3300"/>
            <w:tcMar>
              <w:top w:type="dxa" w:w="80"/>
              <w:left w:type="dxa" w:w="100"/>
              <w:bottom w:type="dxa" w:w="80"/>
              <w:right w:type="dxa" w:w="100"/>
            </w:tcMar>
          </w:tcPr>
          <w:p>
            <w:pPr>
              <w:spacing w:after="40"/>
            </w:pPr>
            <w:r>
              <w:rPr>
                <w:b w:val="false"/>
                <w:bCs w:val="false"/>
                <w:sz w:val="19"/>
                <w:szCs w:val="19"/>
              </w:rPr>
              <w:t xml:space="preserve">An explicit list of every file that references it, found via search first</w:t>
            </w:r>
          </w:p>
        </w:tc>
        <w:tc>
          <w:tcPr>
            <w:tcW w:type="dxa" w:w="2800"/>
            <w:tcMar>
              <w:top w:type="dxa" w:w="80"/>
              <w:left w:type="dxa" w:w="100"/>
              <w:bottom w:type="dxa" w:w="80"/>
              <w:right w:type="dxa" w:w="100"/>
            </w:tcMar>
          </w:tcPr>
          <w:p>
            <w:pPr>
              <w:spacing w:after="40"/>
            </w:pPr>
            <w:r>
              <w:rPr>
                <w:b w:val="false"/>
                <w:bCs w:val="false"/>
                <w:sz w:val="19"/>
                <w:szCs w:val="19"/>
              </w:rPr>
              <w:t xml:space="preserve">Access is expanded only as far as the search results show is needed — never “whole codebase, refactor freely.”</w:t>
            </w:r>
          </w:p>
        </w:tc>
      </w:tr>
      <w:tr>
        <w:tc>
          <w:tcPr>
            <w:tcW w:type="dxa" w:w="2300"/>
            <w:tcMar>
              <w:top w:type="dxa" w:w="80"/>
              <w:left w:type="dxa" w:w="100"/>
              <w:bottom w:type="dxa" w:w="80"/>
              <w:right w:type="dxa" w:w="100"/>
            </w:tcMar>
          </w:tcPr>
          <w:p>
            <w:pPr>
              <w:spacing w:after="40"/>
            </w:pPr>
            <w:r>
              <w:rPr>
                <w:b w:val="false"/>
                <w:bCs w:val="false"/>
                <w:sz w:val="19"/>
                <w:szCs w:val="19"/>
              </w:rPr>
              <w:t xml:space="preserve">Planning / framing conversations (task mapping, workflow write-ups)</w:t>
            </w:r>
          </w:p>
        </w:tc>
        <w:tc>
          <w:tcPr>
            <w:tcW w:type="dxa" w:w="3300"/>
            <w:tcMar>
              <w:top w:type="dxa" w:w="80"/>
              <w:left w:type="dxa" w:w="100"/>
              <w:bottom w:type="dxa" w:w="80"/>
              <w:right w:type="dxa" w:w="100"/>
            </w:tcMar>
          </w:tcPr>
          <w:p>
            <w:pPr>
              <w:spacing w:after="40"/>
            </w:pPr>
            <w:r>
              <w:rPr>
                <w:b w:val="false"/>
                <w:bCs w:val="false"/>
                <w:sz w:val="19"/>
                <w:szCs w:val="19"/>
              </w:rPr>
              <w:t xml:space="preserve">Prompt-only, using the Day 1/Day 2 documents pasted as context</w:t>
            </w:r>
          </w:p>
        </w:tc>
        <w:tc>
          <w:tcPr>
            <w:tcW w:type="dxa" w:w="2800"/>
            <w:tcMar>
              <w:top w:type="dxa" w:w="80"/>
              <w:left w:type="dxa" w:w="100"/>
              <w:bottom w:type="dxa" w:w="80"/>
              <w:right w:type="dxa" w:w="100"/>
            </w:tcMar>
          </w:tcPr>
          <w:p>
            <w:pPr>
              <w:spacing w:after="40"/>
            </w:pPr>
            <w:r>
              <w:rPr>
                <w:b w:val="false"/>
                <w:bCs w:val="false"/>
                <w:sz w:val="19"/>
                <w:szCs w:val="19"/>
              </w:rPr>
              <w:t xml:space="preserve">No code access is needed at all for planning discussions.</w:t>
            </w:r>
          </w:p>
        </w:tc>
      </w:tr>
    </w:tbl>
    <w:p>
      <w:pPr>
        <w:pStyle w:val="Heading1"/>
        <w:spacing w:after="160" w:before="320"/>
      </w:pPr>
      <w:r>
        <w:t xml:space="preserve">3. AI Coding Workflow</w:t>
      </w:r>
    </w:p>
    <w:p>
      <w:pPr>
        <w:spacing w:after="160"/>
      </w:pPr>
      <w:r>
        <w:t xml:space="preserve">Worked example on a real Day 2 Jira ticket: MHL-19, “Every submission creates exactly one ticket record” (Epic: Request Intake). The coding workflow includes a planning step before implementation, and AI output is reviewed before acceptance.</w:t>
      </w:r>
    </w:p>
    <w:p>
      <w:pPr>
        <w:spacing w:after="160"/>
        <w:rPr>
          <w:b/>
          <w:bCs/>
        </w:rPr>
      </w:pPr>
      <w:r>
        <w:rPr>
          <w:b/>
          <w:bCs/>
        </w:rPr>
        <w:t xml:space="preserve">Task framing</w:t>
      </w:r>
    </w:p>
    <w:p>
      <w:pPr>
        <w:spacing w:after="160"/>
      </w:pPr>
      <w:r>
        <w:t xml:space="preserve">Day 1 acceptance criterion (Work Area A): “A submitted request always produces exactly one ticket with a unique ID.” Restated for the AI agent: implement the create-ticket action so a single form submission — even under a double-click or a slow network — results in exactly one Firestore document.</w:t>
      </w:r>
    </w:p>
    <w:p>
      <w:pPr>
        <w:spacing w:after="160"/>
        <w:rPr>
          <w:b/>
          <w:bCs/>
        </w:rPr>
      </w:pPr>
      <w:r>
        <w:rPr>
          <w:b/>
          <w:bCs/>
        </w:rPr>
        <w:t xml:space="preserve">Context given</w:t>
      </w:r>
    </w:p>
    <w:p>
      <w:pPr>
        <w:pStyle w:val="ListParagraph"/>
        <w:numPr>
          <w:ilvl w:val="0"/>
          <w:numId w:val="2"/>
        </w:numPr>
        <w:spacing w:after="100"/>
      </w:pPr>
      <w:r>
        <w:t xml:space="preserve">The intake form component file</w:t>
      </w:r>
    </w:p>
    <w:p>
      <w:pPr>
        <w:pStyle w:val="ListParagraph"/>
        <w:numPr>
          <w:ilvl w:val="0"/>
          <w:numId w:val="2"/>
        </w:numPr>
        <w:spacing w:after="100"/>
      </w:pPr>
      <w:r>
        <w:t xml:space="preserve">The ticket data model section from the build plan</w:t>
      </w:r>
    </w:p>
    <w:p>
      <w:pPr>
        <w:pStyle w:val="ListParagraph"/>
        <w:numPr>
          <w:ilvl w:val="0"/>
          <w:numId w:val="2"/>
        </w:numPr>
        <w:spacing w:after="100"/>
      </w:pPr>
      <w:r>
        <w:t xml:space="preserve">The current create-ticket function</w:t>
      </w:r>
    </w:p>
    <w:p>
      <w:pPr>
        <w:spacing w:after="160"/>
        <w:rPr>
          <w:i/>
          <w:iCs/>
          <w:sz w:val="20"/>
          <w:szCs w:val="20"/>
        </w:rPr>
      </w:pPr>
      <w:r>
        <w:rPr>
          <w:i/>
          <w:iCs/>
          <w:sz w:val="20"/>
          <w:szCs w:val="20"/>
        </w:rPr>
        <w:t xml:space="preserve">Not given: the rest of the app. Not needed for this ticket.</w:t>
      </w:r>
    </w:p>
    <w:p>
      <w:pPr>
        <w:spacing w:after="160"/>
        <w:rPr>
          <w:b/>
          <w:bCs/>
        </w:rPr>
      </w:pPr>
      <w:r>
        <w:rPr>
          <w:b/>
          <w:bCs/>
        </w:rPr>
        <w:t xml:space="preserve">AI's plan, before coding</w:t>
      </w:r>
    </w:p>
    <w:p>
      <w:pPr>
        <w:pStyle w:val="ListParagraph"/>
        <w:numPr>
          <w:ilvl w:val="0"/>
          <w:numId w:val="2"/>
        </w:numPr>
        <w:spacing w:after="100"/>
      </w:pPr>
      <w:r>
        <w:t xml:space="preserve">Disable the submit button immediately on click</w:t>
      </w:r>
    </w:p>
    <w:p>
      <w:pPr>
        <w:pStyle w:val="ListParagraph"/>
        <w:numPr>
          <w:ilvl w:val="0"/>
          <w:numId w:val="2"/>
        </w:numPr>
        <w:spacing w:after="100"/>
      </w:pPr>
      <w:r>
        <w:t xml:space="preserve">Move the Firestore write into a single async function guarded by an isSubmitting state</w:t>
      </w:r>
    </w:p>
    <w:p>
      <w:pPr>
        <w:pStyle w:val="ListParagraph"/>
        <w:numPr>
          <w:ilvl w:val="0"/>
          <w:numId w:val="2"/>
        </w:numPr>
        <w:spacing w:after="100"/>
      </w:pPr>
      <w:r>
        <w:t xml:space="preserve">Generate the ticket's document ID client-side before the write, so a retry does not create a second document</w:t>
      </w:r>
    </w:p>
    <w:p>
      <w:pPr>
        <w:pStyle w:val="ListParagraph"/>
        <w:numPr>
          <w:ilvl w:val="0"/>
          <w:numId w:val="2"/>
        </w:numPr>
        <w:spacing w:after="100"/>
      </w:pPr>
      <w:r>
        <w:t xml:space="preserve">Show the confirmation only after the write resolves</w:t>
      </w:r>
    </w:p>
    <w:p>
      <w:pPr>
        <w:spacing w:after="160"/>
        <w:rPr>
          <w:b/>
          <w:bCs/>
        </w:rPr>
      </w:pPr>
      <w:r>
        <w:rPr>
          <w:b/>
          <w:bCs/>
        </w:rPr>
        <w:t xml:space="preserve">Human review of the plan</w:t>
      </w:r>
    </w:p>
    <w:p>
      <w:pPr>
        <w:spacing w:after="160"/>
      </w:pPr>
      <w:r>
        <w:t xml:space="preserve">Approved the button-disable, isSubmitting guard, and post-write confirmation. Flagged the client-generated-ID step as insufficient on its own — it prevents accidental duplicate clicks but not a genuine network-level retry. Decision: ship the client-side guard for v1 scope (it fully solves the reported failure mode) and log server-side idempotency as a known limitation rather than silently treating the fix as complete.</w:t>
      </w:r>
    </w:p>
    <w:p>
      <w:pPr>
        <w:spacing w:after="160"/>
        <w:rPr>
          <w:b/>
          <w:bCs/>
        </w:rPr>
      </w:pPr>
      <w:r>
        <w:rPr>
          <w:b/>
          <w:bCs/>
        </w:rPr>
        <w:t xml:space="preserve">Implementation approach</w:t>
      </w:r>
    </w:p>
    <w:p>
      <w:pPr>
        <w:spacing w:after="160"/>
      </w:pPr>
      <w:r>
        <w:t xml:space="preserve">The agent implemented the four approved steps only, touching the intake form component and the create-ticket function.</w:t>
      </w:r>
    </w:p>
    <w:p>
      <w:pPr>
        <w:spacing w:after="160"/>
        <w:rPr>
          <w:b/>
          <w:bCs/>
        </w:rPr>
      </w:pPr>
      <w:r>
        <w:rPr>
          <w:b/>
          <w:bCs/>
        </w:rPr>
        <w:t xml:space="preserve">Diff / review notes</w:t>
      </w:r>
    </w:p>
    <w:p>
      <w:pPr>
        <w:pStyle w:val="ListParagraph"/>
        <w:numPr>
          <w:ilvl w:val="0"/>
          <w:numId w:val="2"/>
        </w:numPr>
        <w:spacing w:after="100"/>
      </w:pPr>
      <w:r>
        <w:t xml:space="preserve">Confirmed the diff touched only the two expected files — no unrelated files changed</w:t>
      </w:r>
    </w:p>
    <w:p>
      <w:pPr>
        <w:pStyle w:val="ListParagraph"/>
        <w:numPr>
          <w:ilvl w:val="0"/>
          <w:numId w:val="2"/>
        </w:numPr>
        <w:spacing w:after="100"/>
      </w:pPr>
      <w:r>
        <w:t xml:space="preserve">Confirmed the button correctly re-enables on a validation failure, not only on success</w:t>
      </w:r>
    </w:p>
    <w:p>
      <w:pPr>
        <w:pStyle w:val="ListParagraph"/>
        <w:numPr>
          <w:ilvl w:val="0"/>
          <w:numId w:val="2"/>
        </w:numPr>
        <w:spacing w:after="100"/>
      </w:pPr>
      <w:r>
        <w:t xml:space="preserve">Confirmed the confirmation screen still shows the correct ticket ID</w:t>
      </w:r>
    </w:p>
    <w:p>
      <w:pPr>
        <w:spacing w:after="160"/>
        <w:rPr>
          <w:b/>
          <w:bCs/>
        </w:rPr>
      </w:pPr>
      <w:r>
        <w:rPr>
          <w:b/>
          <w:bCs/>
        </w:rPr>
        <w:t xml:space="preserve">Checks</w:t>
      </w:r>
    </w:p>
    <w:p>
      <w:pPr>
        <w:pStyle w:val="ListParagraph"/>
        <w:numPr>
          <w:ilvl w:val="0"/>
          <w:numId w:val="2"/>
        </w:numPr>
        <w:spacing w:after="100"/>
      </w:pPr>
      <w:r>
        <w:t xml:space="preserve">Manually double-clicked submit and confirmed only one Firestore document was created</w:t>
      </w:r>
    </w:p>
    <w:p>
      <w:pPr>
        <w:pStyle w:val="ListParagraph"/>
        <w:numPr>
          <w:ilvl w:val="0"/>
          <w:numId w:val="2"/>
        </w:numPr>
        <w:spacing w:after="100"/>
      </w:pPr>
      <w:r>
        <w:t xml:space="preserve">Throttled the network in devtools and repeated the test</w:t>
      </w:r>
    </w:p>
    <w:p>
      <w:pPr>
        <w:pStyle w:val="ListParagraph"/>
        <w:numPr>
          <w:ilvl w:val="0"/>
          <w:numId w:val="2"/>
        </w:numPr>
        <w:spacing w:after="100"/>
      </w:pPr>
      <w:r>
        <w:t xml:space="preserve">Verified the ticket ID shown to the user matches the single document written</w:t>
      </w:r>
    </w:p>
    <w:p>
      <w:pPr>
        <w:spacing w:after="160"/>
        <w:rPr>
          <w:b/>
          <w:bCs/>
        </w:rPr>
      </w:pPr>
      <w:r>
        <w:rPr>
          <w:b/>
          <w:bCs/>
        </w:rPr>
        <w:t xml:space="preserve">Final decision: Keep. The acceptance criterion is met for v1 scope; the missing server-side idempotency is recorded as a follow-up item, not accepted silently.</w:t>
      </w:r>
    </w:p>
    <w:p>
      <w:pPr>
        <w:pStyle w:val="Heading1"/>
        <w:spacing w:after="160" w:before="320"/>
      </w:pPr>
      <w:r>
        <w:t xml:space="preserve">4. Debugging and Verification Example</w:t>
      </w:r>
    </w:p>
    <w:p>
      <w:pPr>
        <w:spacing w:after="160"/>
        <w:rPr>
          <w:b/>
          <w:bCs/>
        </w:rPr>
      </w:pPr>
      <w:r>
        <w:rPr>
          <w:b/>
          <w:bCs/>
        </w:rPr>
        <w:t xml:space="preserve">Bug / risk observed</w:t>
      </w:r>
    </w:p>
    <w:p>
      <w:pPr>
        <w:spacing w:after="160"/>
      </w:pPr>
      <w:r>
        <w:t xml:space="preserve">While manually testing the ticket above, before the fix was applied: on a throttled connection, clicking “Submit” twice on the intake form produced two rows in the staff queue for what was actually one request.</w:t>
      </w:r>
    </w:p>
    <w:p>
      <w:pPr>
        <w:spacing w:after="160"/>
        <w:rPr>
          <w:b/>
          <w:bCs/>
        </w:rPr>
      </w:pPr>
      <w:r>
        <w:rPr>
          <w:b/>
          <w:bCs/>
        </w:rPr>
        <w:t xml:space="preserve">Investigation</w:t>
      </w:r>
    </w:p>
    <w:p>
      <w:pPr>
        <w:pStyle w:val="ListParagraph"/>
        <w:numPr>
          <w:ilvl w:val="0"/>
          <w:numId w:val="2"/>
        </w:numPr>
        <w:spacing w:after="100"/>
      </w:pPr>
      <w:r>
        <w:t xml:space="preserve">Reproduced the failure directly: throttled the network in devtools and double-clicked submit</w:t>
      </w:r>
    </w:p>
    <w:p>
      <w:pPr>
        <w:pStyle w:val="ListParagraph"/>
        <w:numPr>
          <w:ilvl w:val="0"/>
          <w:numId w:val="2"/>
        </w:numPr>
        <w:spacing w:after="100"/>
      </w:pPr>
      <w:r>
        <w:t xml:space="preserve">Checked the Firestore console (not just the UI) and confirmed two separate documents existed with matching title, description, and near-identical timestamps — this ruled out a UI list-rendering duplicate and confirmed a real duplicate write</w:t>
      </w:r>
    </w:p>
    <w:p>
      <w:pPr>
        <w:pStyle w:val="ListParagraph"/>
        <w:numPr>
          <w:ilvl w:val="0"/>
          <w:numId w:val="2"/>
        </w:numPr>
        <w:spacing w:after="100"/>
      </w:pPr>
      <w:r>
        <w:t xml:space="preserve">Checked the browser network tab and confirmed two separate write requests had actually been sent</w:t>
      </w:r>
    </w:p>
    <w:p>
      <w:pPr>
        <w:pStyle w:val="ListParagraph"/>
        <w:numPr>
          <w:ilvl w:val="0"/>
          <w:numId w:val="2"/>
        </w:numPr>
        <w:spacing w:after="100"/>
      </w:pPr>
      <w:r>
        <w:t xml:space="preserve">Read the submit handler and found no guard against re-entrancy — each click independently triggered the async create function, and the button had no disabled state</w:t>
      </w:r>
    </w:p>
    <w:p>
      <w:pPr>
        <w:spacing w:after="160"/>
        <w:rPr>
          <w:b/>
          <w:bCs/>
        </w:rPr>
      </w:pPr>
      <w:r>
        <w:rPr>
          <w:b/>
          <w:bCs/>
        </w:rPr>
        <w:t xml:space="preserve">Evidence used</w:t>
      </w:r>
    </w:p>
    <w:p>
      <w:pPr>
        <w:spacing w:after="160"/>
      </w:pPr>
      <w:r>
        <w:t xml:space="preserve">Firestore console document count before/after, the network tab showing two write calls, and the component code showing the missing guard — not a guess about “probably a double-submit issue.”</w:t>
      </w:r>
    </w:p>
    <w:p>
      <w:pPr>
        <w:spacing w:after="160"/>
        <w:rPr>
          <w:b/>
          <w:bCs/>
          <w:color w:val="1E1E1E"/>
        </w:rPr>
      </w:pPr>
      <w:r>
        <w:rPr>
          <w:b/>
          <w:bCs/>
          <w:color w:val="1E1E1E"/>
        </w:rPr>
        <w:t xml:space="preserve">Final decision</w:t>
      </w:r>
    </w:p>
    <w:p>
      <w:pPr>
        <w:spacing w:after="160"/>
      </w:pPr>
      <w:r>
        <w:t xml:space="preserve">Revise. The feature itself was correctly scoped; only the re-entrancy guard was missing. The fix (disable-on-click, isSubmitting guard, pre-generated document ID) was applied and re-verified per Section 3 above. Not a full rollback, since the underlying feature was sound; not “keep as-is,” since the bug directly violated a Day 1 acceptance criterion.</w:t>
      </w:r>
    </w:p>
    <w:p>
      <w:pPr>
        <w:pStyle w:val="Heading1"/>
        <w:spacing w:after="160" w:before="320"/>
      </w:pPr>
      <w:r>
        <w:t xml:space="preserve">5. Staying Current Plan</w:t>
      </w:r>
    </w:p>
    <w:p>
      <w:pPr>
        <w:spacing w:after="160"/>
      </w:pPr>
      <w:r>
        <w:t xml:space="preserve">Because the stack (Next.js, Clerk, Firebase, shadcn/ui, Vercel) changes frequently, the team checks official documentation before relying on a specific capability, rather than assuming training-data knowledge is current.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D9E2F3" w:color="auto" w:val="clear"/>
            <w:tcMar>
              <w:top w:type="dxa" w:w="80"/>
              <w:left w:type="dxa" w:w="100"/>
              <w:bottom w:type="dxa" w:w="80"/>
              <w:right w:type="dxa" w:w="100"/>
            </w:tcMar>
          </w:tcPr>
          <w:p>
            <w:pPr>
              <w:spacing w:after="40"/>
            </w:pPr>
            <w:r>
              <w:rPr>
                <w:b/>
                <w:bCs/>
                <w:sz w:val="19"/>
                <w:szCs w:val="19"/>
              </w:rPr>
              <w:t xml:space="preserve">Tool</w:t>
            </w:r>
          </w:p>
        </w:tc>
        <w:tc>
          <w:tcPr>
            <w:tcW w:type="dxa" w:w="5700"/>
            <w:shd w:fill="D9E2F3" w:color="auto" w:val="clear"/>
            <w:tcMar>
              <w:top w:type="dxa" w:w="80"/>
              <w:left w:type="dxa" w:w="100"/>
              <w:bottom w:type="dxa" w:w="80"/>
              <w:right w:type="dxa" w:w="100"/>
            </w:tcMar>
          </w:tcPr>
          <w:p>
            <w:pPr>
              <w:spacing w:after="40"/>
            </w:pPr>
            <w:r>
              <w:rPr>
                <w:b/>
                <w:bCs/>
                <w:sz w:val="19"/>
                <w:szCs w:val="19"/>
              </w:rPr>
              <w:t xml:space="preserve">Trusted source to check</w:t>
            </w:r>
          </w:p>
        </w:tc>
      </w:tr>
      <w:tr>
        <w:tc>
          <w:tcPr>
            <w:tcW w:type="dxa" w:w="2600"/>
            <w:tcMar>
              <w:top w:type="dxa" w:w="80"/>
              <w:left w:type="dxa" w:w="100"/>
              <w:bottom w:type="dxa" w:w="80"/>
              <w:right w:type="dxa" w:w="100"/>
            </w:tcMar>
          </w:tcPr>
          <w:p>
            <w:pPr>
              <w:spacing w:after="40"/>
            </w:pPr>
            <w:r>
              <w:rPr>
                <w:b w:val="false"/>
                <w:bCs w:val="false"/>
                <w:sz w:val="19"/>
                <w:szCs w:val="19"/>
              </w:rPr>
              <w:t xml:space="preserve">Next.js</w:t>
            </w:r>
          </w:p>
        </w:tc>
        <w:tc>
          <w:tcPr>
            <w:tcW w:type="dxa" w:w="5700"/>
            <w:tcMar>
              <w:top w:type="dxa" w:w="80"/>
              <w:left w:type="dxa" w:w="100"/>
              <w:bottom w:type="dxa" w:w="80"/>
              <w:right w:type="dxa" w:w="100"/>
            </w:tcMar>
          </w:tcPr>
          <w:p>
            <w:pPr>
              <w:spacing w:after="40"/>
            </w:pPr>
            <w:r>
              <w:rPr>
                <w:b w:val="false"/>
                <w:bCs w:val="false"/>
                <w:sz w:val="19"/>
                <w:szCs w:val="19"/>
              </w:rPr>
              <w:t xml:space="preserve">nextjs.org/docs</w:t>
            </w:r>
          </w:p>
        </w:tc>
      </w:tr>
      <w:tr>
        <w:tc>
          <w:tcPr>
            <w:tcW w:type="dxa" w:w="2600"/>
            <w:tcMar>
              <w:top w:type="dxa" w:w="80"/>
              <w:left w:type="dxa" w:w="100"/>
              <w:bottom w:type="dxa" w:w="80"/>
              <w:right w:type="dxa" w:w="100"/>
            </w:tcMar>
          </w:tcPr>
          <w:p>
            <w:pPr>
              <w:spacing w:after="40"/>
            </w:pPr>
            <w:r>
              <w:rPr>
                <w:b w:val="false"/>
                <w:bCs w:val="false"/>
                <w:sz w:val="19"/>
                <w:szCs w:val="19"/>
              </w:rPr>
              <w:t xml:space="preserve">Clerk</w:t>
            </w:r>
          </w:p>
        </w:tc>
        <w:tc>
          <w:tcPr>
            <w:tcW w:type="dxa" w:w="5700"/>
            <w:tcMar>
              <w:top w:type="dxa" w:w="80"/>
              <w:left w:type="dxa" w:w="100"/>
              <w:bottom w:type="dxa" w:w="80"/>
              <w:right w:type="dxa" w:w="100"/>
            </w:tcMar>
          </w:tcPr>
          <w:p>
            <w:pPr>
              <w:spacing w:after="40"/>
            </w:pPr>
            <w:r>
              <w:rPr>
                <w:b w:val="false"/>
                <w:bCs w:val="false"/>
                <w:sz w:val="19"/>
                <w:szCs w:val="19"/>
              </w:rPr>
              <w:t xml:space="preserve">clerk.com/docs</w:t>
            </w:r>
          </w:p>
        </w:tc>
      </w:tr>
      <w:tr>
        <w:tc>
          <w:tcPr>
            <w:tcW w:type="dxa" w:w="2600"/>
            <w:tcMar>
              <w:top w:type="dxa" w:w="80"/>
              <w:left w:type="dxa" w:w="100"/>
              <w:bottom w:type="dxa" w:w="80"/>
              <w:right w:type="dxa" w:w="100"/>
            </w:tcMar>
          </w:tcPr>
          <w:p>
            <w:pPr>
              <w:spacing w:after="40"/>
            </w:pPr>
            <w:r>
              <w:rPr>
                <w:b w:val="false"/>
                <w:bCs w:val="false"/>
                <w:sz w:val="19"/>
                <w:szCs w:val="19"/>
              </w:rPr>
              <w:t xml:space="preserve">Firebase / Firestore</w:t>
            </w:r>
          </w:p>
        </w:tc>
        <w:tc>
          <w:tcPr>
            <w:tcW w:type="dxa" w:w="5700"/>
            <w:tcMar>
              <w:top w:type="dxa" w:w="80"/>
              <w:left w:type="dxa" w:w="100"/>
              <w:bottom w:type="dxa" w:w="80"/>
              <w:right w:type="dxa" w:w="100"/>
            </w:tcMar>
          </w:tcPr>
          <w:p>
            <w:pPr>
              <w:spacing w:after="40"/>
            </w:pPr>
            <w:r>
              <w:rPr>
                <w:b w:val="false"/>
                <w:bCs w:val="false"/>
                <w:sz w:val="19"/>
                <w:szCs w:val="19"/>
              </w:rPr>
              <w:t xml:space="preserve">firebase.google.com/docs</w:t>
            </w:r>
          </w:p>
        </w:tc>
      </w:tr>
      <w:tr>
        <w:tc>
          <w:tcPr>
            <w:tcW w:type="dxa" w:w="2600"/>
            <w:tcMar>
              <w:top w:type="dxa" w:w="80"/>
              <w:left w:type="dxa" w:w="100"/>
              <w:bottom w:type="dxa" w:w="80"/>
              <w:right w:type="dxa" w:w="100"/>
            </w:tcMar>
          </w:tcPr>
          <w:p>
            <w:pPr>
              <w:spacing w:after="40"/>
            </w:pPr>
            <w:r>
              <w:rPr>
                <w:b w:val="false"/>
                <w:bCs w:val="false"/>
                <w:sz w:val="19"/>
                <w:szCs w:val="19"/>
              </w:rPr>
              <w:t xml:space="preserve">shadcn/ui</w:t>
            </w:r>
          </w:p>
        </w:tc>
        <w:tc>
          <w:tcPr>
            <w:tcW w:type="dxa" w:w="5700"/>
            <w:tcMar>
              <w:top w:type="dxa" w:w="80"/>
              <w:left w:type="dxa" w:w="100"/>
              <w:bottom w:type="dxa" w:w="80"/>
              <w:right w:type="dxa" w:w="100"/>
            </w:tcMar>
          </w:tcPr>
          <w:p>
            <w:pPr>
              <w:spacing w:after="40"/>
            </w:pPr>
            <w:r>
              <w:rPr>
                <w:b w:val="false"/>
                <w:bCs w:val="false"/>
                <w:sz w:val="19"/>
                <w:szCs w:val="19"/>
              </w:rPr>
              <w:t xml:space="preserve">ui.shadcn.com (component docs + changelog)</w:t>
            </w:r>
          </w:p>
        </w:tc>
      </w:tr>
      <w:tr>
        <w:tc>
          <w:tcPr>
            <w:tcW w:type="dxa" w:w="2600"/>
            <w:tcMar>
              <w:top w:type="dxa" w:w="80"/>
              <w:left w:type="dxa" w:w="100"/>
              <w:bottom w:type="dxa" w:w="80"/>
              <w:right w:type="dxa" w:w="100"/>
            </w:tcMar>
          </w:tcPr>
          <w:p>
            <w:pPr>
              <w:spacing w:after="40"/>
            </w:pPr>
            <w:r>
              <w:rPr>
                <w:b w:val="false"/>
                <w:bCs w:val="false"/>
                <w:sz w:val="19"/>
                <w:szCs w:val="19"/>
              </w:rPr>
              <w:t xml:space="preserve">Vercel</w:t>
            </w:r>
          </w:p>
        </w:tc>
        <w:tc>
          <w:tcPr>
            <w:tcW w:type="dxa" w:w="5700"/>
            <w:tcMar>
              <w:top w:type="dxa" w:w="80"/>
              <w:left w:type="dxa" w:w="100"/>
              <w:bottom w:type="dxa" w:w="80"/>
              <w:right w:type="dxa" w:w="100"/>
            </w:tcMar>
          </w:tcPr>
          <w:p>
            <w:pPr>
              <w:spacing w:after="40"/>
            </w:pPr>
            <w:r>
              <w:rPr>
                <w:b w:val="false"/>
                <w:bCs w:val="false"/>
                <w:sz w:val="19"/>
                <w:szCs w:val="19"/>
              </w:rPr>
              <w:t xml:space="preserve">vercel.com/docs</w:t>
            </w:r>
          </w:p>
        </w:tc>
      </w:tr>
    </w:tbl>
    <w:p>
      <w:pPr>
        <w:spacing w:after="160"/>
      </w:pPr>
      <w:r>
        <w:t xml:space="preserve">Cadence: the official doc page is checked before implementing any ticket that touches auth, security rules, or deployment configuration — the highest-risk areas — and whenever an AI tool proposes an API or method the human hasn't seen used before. AI-suggested code referencing a method not found in current docs is treated as suspect until verified, never accepted on the basis that “it looked right.”</w:t>
      </w:r>
    </w:p>
    <w:p>
      <w:pPr>
        <w:pStyle w:val="Heading1"/>
        <w:spacing w:after="160" w:before="320"/>
      </w:pPr>
      <w:r>
        <w:t xml:space="preserve">6. How This Workflow Protects Day 1 and Day 2 Delivery Quality</w:t>
      </w:r>
    </w:p>
    <w:p>
      <w:pPr>
        <w:spacing w:after="160"/>
      </w:pPr>
      <w:r>
        <w:t xml:space="preserve">Every task is matched to the right level of AI involvement instead of defaulting to “let AI do it,” and each AI interaction only sees the files, schema, or logs that task actually needs. Coding always starts with a stated plan that a human reviews before implementation, so scope and approach are agreed before code exists, not audited after the fact. Debugging is driven by evidence — console state, network calls, diffs — rather than guesses, and every fix is re-verified against the original acceptance criteria before being accepted. Every AI-supported change ends in an explicit human decision — keep, revise, reject, or roll back — so nothing ships on the assumption that code which compiles is code that's correct. Together, this keeps the scope boundaries, non-goals, and sign-off decisions already closed in Day 1 and Day 2 from being quietly reopened or weakened by AI-generated work.</w:t>
      </w:r>
    </w:p>
    <w:p>
      <w:pPr>
        <w:pStyle w:val="Heading1"/>
        <w:spacing w:after="160" w:before="320"/>
      </w:pPr>
      <w:r>
        <w:t xml:space="preserve">7. Requirements Checklist</w:t>
      </w:r>
    </w:p>
    <w:p>
      <w:pPr>
        <w:spacing w:after="160"/>
      </w:pPr>
      <w:r>
        <w:t xml:space="preserve">This section states plainly how each required element is addressed in this document.</w:t>
      </w:r>
    </w:p>
    <w:p>
      <w:pPr>
        <w:pStyle w:val="ListParagraph"/>
        <w:numPr>
          <w:ilvl w:val="0"/>
          <w:numId w:val="2"/>
        </w:numPr>
        <w:spacing w:after="100"/>
      </w:pPr>
      <w:r>
        <w:t xml:space="preserve">AI is not applied blindly to every task — see Section 1, which assigns Full / Partial / None per task.</w:t>
      </w:r>
    </w:p>
    <w:p>
      <w:pPr>
        <w:pStyle w:val="ListParagraph"/>
        <w:numPr>
          <w:ilvl w:val="0"/>
          <w:numId w:val="2"/>
        </w:numPr>
        <w:spacing w:after="100"/>
      </w:pPr>
      <w:r>
        <w:t xml:space="preserve">Each AI-supported task has a clear reason — see the Reason column in Section 1.</w:t>
      </w:r>
    </w:p>
    <w:p>
      <w:pPr>
        <w:pStyle w:val="ListParagraph"/>
        <w:numPr>
          <w:ilvl w:val="0"/>
          <w:numId w:val="2"/>
        </w:numPr>
        <w:spacing w:after="100"/>
      </w:pPr>
      <w:r>
        <w:t xml:space="preserve">Context and access levels are defined — see Section 2.</w:t>
      </w:r>
    </w:p>
    <w:p>
      <w:pPr>
        <w:pStyle w:val="ListParagraph"/>
        <w:numPr>
          <w:ilvl w:val="0"/>
          <w:numId w:val="2"/>
        </w:numPr>
        <w:spacing w:after="100"/>
      </w:pPr>
      <w:r>
        <w:t xml:space="preserve">The coding workflow includes a planning step before implementation — see “AI's plan, before coding” in Section 3.</w:t>
      </w:r>
    </w:p>
    <w:p>
      <w:pPr>
        <w:pStyle w:val="ListParagraph"/>
        <w:numPr>
          <w:ilvl w:val="0"/>
          <w:numId w:val="2"/>
        </w:numPr>
        <w:spacing w:after="100"/>
      </w:pPr>
      <w:r>
        <w:t xml:space="preserve">AI output is reviewed before acceptance — see “Human review of the plan” and “Diff / review notes” in Section 3.</w:t>
      </w:r>
    </w:p>
    <w:p>
      <w:pPr>
        <w:pStyle w:val="ListParagraph"/>
        <w:numPr>
          <w:ilvl w:val="0"/>
          <w:numId w:val="2"/>
        </w:numPr>
        <w:spacing w:after="100"/>
      </w:pPr>
      <w:r>
        <w:t xml:space="preserve">Debugging includes evidence, not only guesses — see “Investigation” and “Evidence used” in Section 4.</w:t>
      </w:r>
    </w:p>
    <w:p>
      <w:pPr>
        <w:pStyle w:val="ListParagraph"/>
        <w:numPr>
          <w:ilvl w:val="0"/>
          <w:numId w:val="2"/>
        </w:numPr>
        <w:spacing w:after="100"/>
      </w:pPr>
      <w:r>
        <w:t xml:space="preserve">Verification is visible — see “Checks” in Section 3 and the reproduction steps in Section 4.</w:t>
      </w:r>
    </w:p>
    <w:p>
      <w:pPr>
        <w:pStyle w:val="ListParagraph"/>
        <w:numPr>
          <w:ilvl w:val="0"/>
          <w:numId w:val="2"/>
        </w:numPr>
        <w:spacing w:after="100"/>
      </w:pPr>
      <w:r>
        <w:t xml:space="preserve">The final decision is clear: keep, revise, reject, or roll back — stated explicitly at the end of Sections 3 and 4.</w:t>
      </w:r>
    </w:p>
    <w:p>
      <w:pPr>
        <w:pStyle w:val="ListParagraph"/>
        <w:numPr>
          <w:ilvl w:val="0"/>
          <w:numId w:val="2"/>
        </w:numPr>
        <w:spacing w:after="100"/>
      </w:pPr>
      <w:r>
        <w:t xml:space="preserve">Tool update checking is included — see Section 5.</w:t>
      </w:r>
    </w:p>
    <w:p>
      <w:pPr>
        <w:pStyle w:val="ListParagraph"/>
        <w:numPr>
          <w:ilvl w:val="0"/>
          <w:numId w:val="2"/>
        </w:numPr>
        <w:spacing w:after="100"/>
      </w:pPr>
      <w:r>
        <w:t xml:space="preserve">The walkthrough explains reasoning, not just screens — the accompanying video should narrate the “why” behind each step in Sections 3 and 4, not only show the UI.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2026-08-23T15:10:24.957Z</dcterms:created>
  <dcterms:modified xsi:type="dcterms:W3CDTF">2026-08-23T15:10:24.971Z</dcterms:modified>
</cp:coreProperties>
</file>

<file path=docProps/custom.xml><?xml version="1.0" encoding="utf-8"?>
<Properties xmlns="http://schemas.openxmlformats.org/officeDocument/2006/custom-properties" xmlns:vt="http://schemas.openxmlformats.org/officeDocument/2006/docPropsVTypes"/>
</file>