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rFonts w:ascii="Calibri" w:cs="Calibri" w:eastAsia="Calibri" w:hAnsi="Calibri"/>
          <w:b/>
          <w:bCs/>
          <w:color w:val="2E5AA8"/>
          <w:spacing w:val="20"/>
          <w:sz w:val="24"/>
          <w:szCs w:val="24"/>
        </w:rPr>
        <w:t xml:space="preserve">DATA ANALYTICS PROJECT REPORT</w:t>
      </w:r>
    </w:p>
    <w:p>
      <w:pPr>
        <w:spacing w:after="100" w:before="300"/>
        <w:jc w:val="center"/>
      </w:pPr>
      <w:r>
        <w:rPr>
          <w:rFonts w:ascii="Calibri" w:cs="Calibri" w:eastAsia="Calibri" w:hAnsi="Calibri"/>
          <w:b/>
          <w:bCs/>
          <w:color w:val="1F3864"/>
          <w:sz w:val="56"/>
          <w:szCs w:val="56"/>
        </w:rPr>
        <w:t xml:space="preserve">Budget vs Actual</w:t>
      </w:r>
    </w:p>
    <w:p>
      <w:pPr>
        <w:spacing w:after="400"/>
        <w:jc w:val="center"/>
      </w:pPr>
      <w:r>
        <w:rPr>
          <w:rFonts w:ascii="Calibri" w:cs="Calibri" w:eastAsia="Calibri" w:hAnsi="Calibri"/>
          <w:b/>
          <w:bCs/>
          <w:color w:val="1F3864"/>
          <w:sz w:val="56"/>
          <w:szCs w:val="56"/>
        </w:rPr>
        <w:t xml:space="preserve">Expense Analysis</w:t>
      </w:r>
    </w:p>
    <w:p>
      <w:pPr>
        <w:spacing w:after="700"/>
        <w:jc w:val="center"/>
      </w:pPr>
      <w:r>
        <w:rPr>
          <w:rFonts w:ascii="Calibri" w:cs="Calibri" w:eastAsia="Calibri" w:hAnsi="Calibri"/>
          <w:i/>
          <w:iCs/>
          <w:color w:val="595959"/>
          <w:sz w:val="22"/>
          <w:szCs w:val="22"/>
        </w:rPr>
        <w:t xml:space="preserve">From raw Kaggle data to an interactive Power BI dashboard — sourcing, cleaning in Google Colab, modeling in Power Query, and visual storytelling.</w:t>
      </w:r>
    </w:p>
    <w:p>
      <w:pPr>
        <w:spacing w:after="900"/>
        <w:jc w:val="center"/>
      </w:pPr>
      <w:r>
        <w:rPr>
          <w:rFonts w:ascii="Calibri" w:cs="Calibri" w:eastAsia="Calibri" w:hAnsi="Calibri"/>
          <w:b/>
          <w:bCs/>
          <w:color w:val="2E5AA8"/>
          <w:sz w:val="20"/>
          <w:szCs w:val="20"/>
        </w:rPr>
        <w:t xml:space="preserve">Kaggle Dataset   •   Google Colab (Python)   •   Power Query   •   Power BI</w:t>
      </w:r>
    </w:p>
    <w:p>
      <w:pPr>
        <w:spacing w:before="1600"/>
        <w:jc w:val="center"/>
      </w:pPr>
      <w:r>
        <w:rPr>
          <w:rFonts w:ascii="Calibri" w:cs="Calibri" w:eastAsia="Calibri" w:hAnsi="Calibri"/>
          <w:b/>
          <w:bCs/>
          <w:color w:val="595959"/>
          <w:spacing w:val="20"/>
          <w:sz w:val="18"/>
          <w:szCs w:val="18"/>
        </w:rPr>
        <w:t xml:space="preserve">PREPARED BY</w:t>
      </w:r>
    </w:p>
    <w:p>
      <w:pPr>
        <w:spacing w:after="40"/>
        <w:jc w:val="center"/>
      </w:pPr>
      <w:r>
        <w:rPr>
          <w:rFonts w:ascii="Calibri" w:cs="Calibri" w:eastAsia="Calibri" w:hAnsi="Calibri"/>
          <w:b/>
          <w:bCs/>
          <w:color w:val="1F3864"/>
          <w:sz w:val="24"/>
          <w:szCs w:val="24"/>
        </w:rPr>
        <w:t xml:space="preserve">Sonupal Veeradasari (Mazino)  •  Pavan Kumar</w:t>
      </w:r>
    </w:p>
    <w:p>
      <w:pPr>
        <w:spacing w:before="500"/>
        <w:jc w:val="center"/>
      </w:pPr>
      <w:r>
        <w:rPr>
          <w:rFonts w:ascii="Calibri" w:cs="Calibri" w:eastAsia="Calibri" w:hAnsi="Calibri"/>
          <w:color w:val="595959"/>
          <w:sz w:val="20"/>
          <w:szCs w:val="20"/>
        </w:rPr>
        <w:t xml:space="preserve">MBA – Business Analytics, Lovely Professional University</w:t>
      </w:r>
    </w:p>
    <w:p>
      <w:pPr>
        <w:spacing w:after="40"/>
        <w:jc w:val="center"/>
      </w:pPr>
      <w:r>
        <w:rPr>
          <w:rFonts w:ascii="Calibri" w:cs="Calibri" w:eastAsia="Calibri" w:hAnsi="Calibri"/>
          <w:color w:val="595959"/>
          <w:sz w:val="20"/>
          <w:szCs w:val="20"/>
        </w:rPr>
        <w:t xml:space="preserve">August 2026</w:t>
      </w:r>
    </w:p>
    <w:p>
      <w:r>
        <w:br w:type="page"/>
      </w:r>
    </w:p>
    <w:p>
      <w:pPr>
        <w:pStyle w:val="Heading1"/>
        <w:pBdr>
          <w:bottom w:val="single" w:color="2E5AA8" w:sz="6" w:space="4"/>
        </w:pBdr>
        <w:spacing w:after="200" w:before="200"/>
      </w:pPr>
      <w:r>
        <w:rPr>
          <w:rFonts w:ascii="Calibri" w:cs="Calibri" w:eastAsia="Calibri" w:hAnsi="Calibri"/>
          <w:b/>
          <w:bCs/>
          <w:color w:val="1F3864"/>
          <w:sz w:val="32"/>
          <w:szCs w:val="32"/>
        </w:rPr>
        <w:t xml:space="preserve"/>
      </w:r>
      <w:r>
        <w:rPr>
          <w:rFonts w:ascii="Calibri" w:cs="Calibri" w:eastAsia="Calibri" w:hAnsi="Calibri"/>
          <w:b/>
          <w:bCs/>
          <w:color w:val="1F3864"/>
          <w:sz w:val="32"/>
          <w:szCs w:val="32"/>
        </w:rPr>
        <w:t xml:space="preserve">Table of Contents</w:t>
      </w:r>
    </w:p>
    <w:p>
      <w:pPr>
        <w:tabs>
          <w:tab w:val="right" w:pos="9026" w:leader="dot"/>
        </w:tabs>
        <w:spacing w:after="120"/>
      </w:pPr>
      <w:r>
        <w:rPr>
          <w:rFonts w:ascii="Calibri" w:cs="Calibri" w:eastAsia="Calibri" w:hAnsi="Calibri"/>
          <w:color w:val="262626"/>
          <w:sz w:val="22"/>
          <w:szCs w:val="22"/>
        </w:rPr>
        <w:t xml:space="preserve">1. Introduction &amp; Project Objectives</w:t>
      </w:r>
    </w:p>
    <w:p>
      <w:pPr>
        <w:tabs>
          <w:tab w:val="right" w:pos="9026" w:leader="dot"/>
        </w:tabs>
        <w:spacing w:after="120"/>
      </w:pPr>
      <w:r>
        <w:rPr>
          <w:rFonts w:ascii="Calibri" w:cs="Calibri" w:eastAsia="Calibri" w:hAnsi="Calibri"/>
          <w:color w:val="262626"/>
          <w:sz w:val="22"/>
          <w:szCs w:val="22"/>
        </w:rPr>
        <w:t xml:space="preserve">2. About the Dataset</w:t>
      </w:r>
    </w:p>
    <w:p>
      <w:pPr>
        <w:tabs>
          <w:tab w:val="right" w:pos="9026" w:leader="dot"/>
        </w:tabs>
        <w:spacing w:after="120"/>
      </w:pPr>
      <w:r>
        <w:rPr>
          <w:rFonts w:ascii="Calibri" w:cs="Calibri" w:eastAsia="Calibri" w:hAnsi="Calibri"/>
          <w:color w:val="262626"/>
          <w:sz w:val="22"/>
          <w:szCs w:val="22"/>
        </w:rPr>
        <w:t xml:space="preserve">3. Data Cleaning &amp; Preparation (Google Colab)</w:t>
      </w:r>
    </w:p>
    <w:p>
      <w:pPr>
        <w:tabs>
          <w:tab w:val="right" w:pos="9026" w:leader="dot"/>
        </w:tabs>
        <w:spacing w:after="120"/>
      </w:pPr>
      <w:r>
        <w:rPr>
          <w:rFonts w:ascii="Calibri" w:cs="Calibri" w:eastAsia="Calibri" w:hAnsi="Calibri"/>
          <w:color w:val="262626"/>
          <w:sz w:val="22"/>
          <w:szCs w:val="22"/>
        </w:rPr>
        <w:t xml:space="preserve">4. Data Modeling in Power BI (Power Query &amp; DAX)</w:t>
      </w:r>
    </w:p>
    <w:p>
      <w:pPr>
        <w:tabs>
          <w:tab w:val="right" w:pos="9026" w:leader="dot"/>
        </w:tabs>
        <w:spacing w:after="120"/>
      </w:pPr>
      <w:r>
        <w:rPr>
          <w:rFonts w:ascii="Calibri" w:cs="Calibri" w:eastAsia="Calibri" w:hAnsi="Calibri"/>
          <w:color w:val="262626"/>
          <w:sz w:val="22"/>
          <w:szCs w:val="22"/>
        </w:rPr>
        <w:t xml:space="preserve">5. Dashboard Design</w:t>
      </w:r>
    </w:p>
    <w:p>
      <w:pPr>
        <w:tabs>
          <w:tab w:val="right" w:pos="9026" w:leader="dot"/>
        </w:tabs>
        <w:spacing w:after="120"/>
      </w:pPr>
      <w:r>
        <w:rPr>
          <w:rFonts w:ascii="Calibri" w:cs="Calibri" w:eastAsia="Calibri" w:hAnsi="Calibri"/>
          <w:color w:val="262626"/>
          <w:sz w:val="22"/>
          <w:szCs w:val="22"/>
        </w:rPr>
        <w:t xml:space="preserve">6. Results – KPI Overview &amp; Dashboard View</w:t>
      </w:r>
    </w:p>
    <w:p>
      <w:pPr>
        <w:tabs>
          <w:tab w:val="right" w:pos="9026" w:leader="dot"/>
        </w:tabs>
        <w:spacing w:after="120"/>
      </w:pPr>
      <w:r>
        <w:rPr>
          <w:rFonts w:ascii="Calibri" w:cs="Calibri" w:eastAsia="Calibri" w:hAnsi="Calibri"/>
          <w:color w:val="262626"/>
          <w:sz w:val="22"/>
          <w:szCs w:val="22"/>
        </w:rPr>
        <w:t xml:space="preserve">7. Results – Department &amp; Category Analysis</w:t>
      </w:r>
    </w:p>
    <w:p>
      <w:pPr>
        <w:tabs>
          <w:tab w:val="right" w:pos="9026" w:leader="dot"/>
        </w:tabs>
        <w:spacing w:after="120"/>
      </w:pPr>
      <w:r>
        <w:rPr>
          <w:rFonts w:ascii="Calibri" w:cs="Calibri" w:eastAsia="Calibri" w:hAnsi="Calibri"/>
          <w:color w:val="262626"/>
          <w:sz w:val="22"/>
          <w:szCs w:val="22"/>
        </w:rPr>
        <w:t xml:space="preserve">8. Results – Regional &amp; Payment Channel Analysis</w:t>
      </w:r>
    </w:p>
    <w:p>
      <w:pPr>
        <w:tabs>
          <w:tab w:val="right" w:pos="9026" w:leader="dot"/>
        </w:tabs>
        <w:spacing w:after="120"/>
      </w:pPr>
      <w:r>
        <w:rPr>
          <w:rFonts w:ascii="Calibri" w:cs="Calibri" w:eastAsia="Calibri" w:hAnsi="Calibri"/>
          <w:color w:val="262626"/>
          <w:sz w:val="22"/>
          <w:szCs w:val="22"/>
        </w:rPr>
        <w:t xml:space="preserve">9. Key Insights &amp; Recommendations</w:t>
      </w:r>
    </w:p>
    <w:p>
      <w:pPr>
        <w:tabs>
          <w:tab w:val="right" w:pos="9026" w:leader="dot"/>
        </w:tabs>
        <w:spacing w:after="120"/>
      </w:pPr>
      <w:r>
        <w:rPr>
          <w:rFonts w:ascii="Calibri" w:cs="Calibri" w:eastAsia="Calibri" w:hAnsi="Calibri"/>
          <w:color w:val="262626"/>
          <w:sz w:val="22"/>
          <w:szCs w:val="22"/>
        </w:rPr>
        <w:t xml:space="preserve">10. Conclusion, Tools Used &amp; References</w:t>
      </w:r>
    </w:p>
    <w:p>
      <w:pPr>
        <w:spacing w:after="200" w:before="400"/>
      </w:pPr>
      <w:r>
        <w:rPr>
          <w:rFonts w:ascii="Calibri" w:cs="Calibri" w:eastAsia="Calibri" w:hAnsi="Calibri"/>
          <w:b/>
          <w:bCs/>
          <w:color w:val="1F3864"/>
          <w:sz w:val="26"/>
          <w:szCs w:val="26"/>
        </w:rPr>
        <w:t xml:space="preserve">Executive Summary</w:t>
      </w:r>
    </w:p>
    <w:p>
      <w:pPr>
        <w:spacing w:after="160" w:line="276"/>
        <w:jc w:val="both"/>
      </w:pPr>
      <w:r>
        <w:rPr>
          <w:rFonts w:ascii="Calibri" w:cs="Calibri" w:eastAsia="Calibri" w:hAnsi="Calibri"/>
          <w:color w:val="262626"/>
          <w:sz w:val="22"/>
          <w:szCs w:val="22"/>
        </w:rPr>
        <w:t xml:space="preserve">This report documents an end-to-end data analytics project that traces a departmental expense dataset from its raw, Kaggle-sourced form through cleaning in Python (Google Colab), modeling in Power Query, and final visualization in an interactive Power BI dashboard. The analysis covers 10,002 cleaned transactions spanning three years (2021–2023) across six departments, six expense categories, five regions, and four payment methods.</w:t>
      </w:r>
    </w:p>
    <w:p>
      <w:pPr>
        <w:spacing w:after="160" w:line="276"/>
        <w:jc w:val="both"/>
      </w:pPr>
      <w:r>
        <w:rPr>
          <w:rFonts w:ascii="Calibri" w:cs="Calibri" w:eastAsia="Calibri" w:hAnsi="Calibri"/>
          <w:color w:val="262626"/>
          <w:sz w:val="22"/>
          <w:szCs w:val="22"/>
        </w:rPr>
        <w:t xml:space="preserve">The headline finding is that actual expenditure exceeded budget across every department, region, category, and payment channel, with total actual spend of ₹890M against a budget of ₹796M — an overspend of ₹95M, or approximately 11.9%. Marketing and HR are the largest contributors to this gap, together accounting for roughly ₹38M of the total variance, while Finance is the most disciplined department. The report closes with practical, data-backed recommendations for tightening budget-setting and monitoring.</w:t>
      </w:r>
    </w:p>
    <w:p>
      <w:r>
        <w:br w:type="page"/>
      </w:r>
    </w:p>
    <w:p>
      <w:pPr>
        <w:pStyle w:val="Heading1"/>
        <w:pBdr>
          <w:bottom w:val="single" w:color="2E5AA8" w:sz="6" w:space="4"/>
        </w:pBdr>
        <w:spacing w:after="200" w:before="200"/>
      </w:pPr>
      <w:r>
        <w:rPr>
          <w:rFonts w:ascii="Calibri" w:cs="Calibri" w:eastAsia="Calibri" w:hAnsi="Calibri"/>
          <w:b/>
          <w:bCs/>
          <w:color w:val="1F3864"/>
          <w:sz w:val="32"/>
          <w:szCs w:val="32"/>
        </w:rPr>
        <w:t xml:space="preserve">1.  </w:t>
      </w:r>
      <w:r>
        <w:rPr>
          <w:rFonts w:ascii="Calibri" w:cs="Calibri" w:eastAsia="Calibri" w:hAnsi="Calibri"/>
          <w:b/>
          <w:bCs/>
          <w:color w:val="1F3864"/>
          <w:sz w:val="32"/>
          <w:szCs w:val="32"/>
        </w:rPr>
        <w:t xml:space="preserve">Introduction &amp; Project Objectives</w:t>
      </w:r>
    </w:p>
    <w:p>
      <w:pPr>
        <w:spacing w:after="160" w:line="276"/>
        <w:jc w:val="both"/>
      </w:pPr>
      <w:r>
        <w:rPr>
          <w:rFonts w:ascii="Calibri" w:cs="Calibri" w:eastAsia="Calibri" w:hAnsi="Calibri"/>
          <w:color w:val="262626"/>
          <w:sz w:val="22"/>
          <w:szCs w:val="22"/>
        </w:rPr>
        <w:t xml:space="preserve">Organizations routinely set departmental budgets at the start of a financial cycle, but actual spending frequently drifts from these plans. Without a systematic way to track and visualize the gap between planned and actual expenditure, finance teams struggle to identify where overspend is occurring and why. This project was undertaken to address that gap by building a complete analytics pipeline — from raw data to an interactive dashboard — that makes budget variance visible, explorable, and actionable.</w:t>
      </w:r>
    </w:p>
    <w:p>
      <w:pPr>
        <w:pStyle w:val="Heading2"/>
        <w:spacing w:after="120" w:before="240"/>
      </w:pPr>
      <w:r>
        <w:rPr>
          <w:rFonts w:ascii="Calibri" w:cs="Calibri" w:eastAsia="Calibri" w:hAnsi="Calibri"/>
          <w:b/>
          <w:bCs/>
          <w:color w:val="2E5AA8"/>
          <w:sz w:val="24"/>
          <w:szCs w:val="24"/>
        </w:rPr>
        <w:t xml:space="preserve">Objectives</w:t>
      </w:r>
    </w:p>
    <w:p>
      <w:pPr>
        <w:pStyle w:val="ListParagraph"/>
        <w:numPr>
          <w:ilvl w:val="0"/>
          <w:numId w:val="2"/>
        </w:numPr>
        <w:spacing w:after="90"/>
      </w:pPr>
      <w:r>
        <w:rPr>
          <w:rFonts w:ascii="Calibri" w:cs="Calibri" w:eastAsia="Calibri" w:hAnsi="Calibri"/>
          <w:color w:val="262626"/>
          <w:sz w:val="22"/>
          <w:szCs w:val="22"/>
        </w:rPr>
        <w:t xml:space="preserve">Source and understand a real-world, transaction-level budget vs. actual expense dataset.</w:t>
      </w:r>
    </w:p>
    <w:p>
      <w:pPr>
        <w:pStyle w:val="ListParagraph"/>
        <w:numPr>
          <w:ilvl w:val="0"/>
          <w:numId w:val="2"/>
        </w:numPr>
        <w:spacing w:after="90"/>
      </w:pPr>
      <w:r>
        <w:rPr>
          <w:rFonts w:ascii="Calibri" w:cs="Calibri" w:eastAsia="Calibri" w:hAnsi="Calibri"/>
          <w:color w:val="262626"/>
          <w:sz w:val="22"/>
          <w:szCs w:val="22"/>
        </w:rPr>
        <w:t xml:space="preserve">Clean and prepare the dataset using Python (pandas) in Google Colab, ensuring data quality before analysis.</w:t>
      </w:r>
    </w:p>
    <w:p>
      <w:pPr>
        <w:pStyle w:val="ListParagraph"/>
        <w:numPr>
          <w:ilvl w:val="0"/>
          <w:numId w:val="2"/>
        </w:numPr>
        <w:spacing w:after="90"/>
      </w:pPr>
      <w:r>
        <w:rPr>
          <w:rFonts w:ascii="Calibri" w:cs="Calibri" w:eastAsia="Calibri" w:hAnsi="Calibri"/>
          <w:color w:val="262626"/>
          <w:sz w:val="22"/>
          <w:szCs w:val="22"/>
        </w:rPr>
        <w:t xml:space="preserve">Model the cleaned data in Power BI using Power Query and DAX to calculate variance metrics.</w:t>
      </w:r>
    </w:p>
    <w:p>
      <w:pPr>
        <w:pStyle w:val="ListParagraph"/>
        <w:numPr>
          <w:ilvl w:val="0"/>
          <w:numId w:val="2"/>
        </w:numPr>
        <w:spacing w:after="90"/>
      </w:pPr>
      <w:r>
        <w:rPr>
          <w:rFonts w:ascii="Calibri" w:cs="Calibri" w:eastAsia="Calibri" w:hAnsi="Calibri"/>
          <w:color w:val="262626"/>
          <w:sz w:val="22"/>
          <w:szCs w:val="22"/>
        </w:rPr>
        <w:t xml:space="preserve">Design an interactive Power BI dashboard with KPI cards, charts, and slicers for department- and region-level exploration.</w:t>
      </w:r>
    </w:p>
    <w:p>
      <w:pPr>
        <w:pStyle w:val="ListParagraph"/>
        <w:numPr>
          <w:ilvl w:val="0"/>
          <w:numId w:val="2"/>
        </w:numPr>
        <w:spacing w:after="90"/>
      </w:pPr>
      <w:r>
        <w:rPr>
          <w:rFonts w:ascii="Calibri" w:cs="Calibri" w:eastAsia="Calibri" w:hAnsi="Calibri"/>
          <w:color w:val="262626"/>
          <w:sz w:val="22"/>
          <w:szCs w:val="22"/>
        </w:rPr>
        <w:t xml:space="preserve">Derive actionable insights and recommendations from the visualized data to support budget-planning decisions.</w:t>
      </w:r>
    </w:p>
    <w:p>
      <w:pPr>
        <w:pStyle w:val="Heading2"/>
        <w:spacing w:after="120" w:before="240"/>
      </w:pPr>
      <w:r>
        <w:rPr>
          <w:rFonts w:ascii="Calibri" w:cs="Calibri" w:eastAsia="Calibri" w:hAnsi="Calibri"/>
          <w:b/>
          <w:bCs/>
          <w:color w:val="2E5AA8"/>
          <w:sz w:val="24"/>
          <w:szCs w:val="24"/>
        </w:rPr>
        <w:t xml:space="preserve">Scope</w:t>
      </w:r>
    </w:p>
    <w:p>
      <w:pPr>
        <w:spacing w:after="160" w:line="276"/>
        <w:jc w:val="both"/>
      </w:pPr>
      <w:r>
        <w:rPr>
          <w:rFonts w:ascii="Calibri" w:cs="Calibri" w:eastAsia="Calibri" w:hAnsi="Calibri"/>
          <w:color w:val="262626"/>
          <w:sz w:val="22"/>
          <w:szCs w:val="22"/>
        </w:rPr>
        <w:t xml:space="preserve">The analysis is limited to the fields available in the source dataset — transaction date, department, expense category, region, budget amount, actual amount, payment method, and transaction ID. It does not incorporate external factors such as inflation, headcount changes, or macroeconomic conditions that may explain the observed variances; these are noted as directions for further investigation in the recommendations section.</w:t>
      </w:r>
    </w:p>
    <w:p>
      <w:r>
        <w:br w:type="page"/>
      </w:r>
    </w:p>
    <w:p>
      <w:pPr>
        <w:pStyle w:val="Heading1"/>
        <w:pBdr>
          <w:bottom w:val="single" w:color="2E5AA8" w:sz="6" w:space="4"/>
        </w:pBdr>
        <w:spacing w:after="200" w:before="200"/>
      </w:pPr>
      <w:r>
        <w:rPr>
          <w:rFonts w:ascii="Calibri" w:cs="Calibri" w:eastAsia="Calibri" w:hAnsi="Calibri"/>
          <w:b/>
          <w:bCs/>
          <w:color w:val="1F3864"/>
          <w:sz w:val="32"/>
          <w:szCs w:val="32"/>
        </w:rPr>
        <w:t xml:space="preserve">2.  </w:t>
      </w:r>
      <w:r>
        <w:rPr>
          <w:rFonts w:ascii="Calibri" w:cs="Calibri" w:eastAsia="Calibri" w:hAnsi="Calibri"/>
          <w:b/>
          <w:bCs/>
          <w:color w:val="1F3864"/>
          <w:sz w:val="32"/>
          <w:szCs w:val="32"/>
        </w:rPr>
        <w:t xml:space="preserve">About the Dataset</w:t>
      </w:r>
    </w:p>
    <w:p>
      <w:pPr>
        <w:spacing w:after="160" w:line="276"/>
        <w:jc w:val="both"/>
      </w:pPr>
      <w:r>
        <w:rPr>
          <w:rFonts w:ascii="Calibri" w:cs="Calibri" w:eastAsia="Calibri" w:hAnsi="Calibri"/>
          <w:color w:val="262626"/>
          <w:sz w:val="22"/>
          <w:szCs w:val="22"/>
        </w:rPr>
        <w:t xml:space="preserve">The source dataset was obtained from Kaggle as a transaction-level financial record covering three years of departmental spending. It was supplied as an Excel file and uploaded to Google Colab for cleaning before being loaded into Power BI.</w:t>
      </w:r>
    </w:p>
    <w:p>
      <w:pPr>
        <w:pStyle w:val="Heading2"/>
        <w:spacing w:after="120" w:before="240"/>
      </w:pPr>
      <w:r>
        <w:rPr>
          <w:rFonts w:ascii="Calibri" w:cs="Calibri" w:eastAsia="Calibri" w:hAnsi="Calibri"/>
          <w:b/>
          <w:bCs/>
          <w:color w:val="2E5AA8"/>
          <w:sz w:val="24"/>
          <w:szCs w:val="24"/>
        </w:rPr>
        <w:t xml:space="preserve">Dataset Profile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Attribute</w:t>
            </w:r>
          </w:p>
        </w:tc>
        <w:tc>
          <w:tcPr>
            <w:tcW w:type="dxa" w:w="61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Detail</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Source</w:t>
            </w:r>
          </w:p>
        </w:tc>
        <w:tc>
          <w:tcPr>
            <w:tcW w:type="dxa" w:w="61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Kaggle — Budget vs Actual Expense dataset</w:t>
            </w:r>
          </w:p>
        </w:tc>
      </w:tr>
      <w:tr>
        <w:tc>
          <w:tcPr>
            <w:tcW w:type="dxa" w:w="32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Original format</w:t>
            </w:r>
          </w:p>
        </w:tc>
        <w:tc>
          <w:tcPr>
            <w:tcW w:type="dxa" w:w="61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Excel (.xlsx)</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Raw transaction rows</w:t>
            </w:r>
          </w:p>
        </w:tc>
        <w:tc>
          <w:tcPr>
            <w:tcW w:type="dxa" w:w="61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10,010</w:t>
            </w:r>
          </w:p>
        </w:tc>
      </w:tr>
      <w:tr>
        <w:tc>
          <w:tcPr>
            <w:tcW w:type="dxa" w:w="32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Cleaned transaction rows</w:t>
            </w:r>
          </w:p>
        </w:tc>
        <w:tc>
          <w:tcPr>
            <w:tcW w:type="dxa" w:w="61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10,002</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Data columns</w:t>
            </w:r>
          </w:p>
        </w:tc>
        <w:tc>
          <w:tcPr>
            <w:tcW w:type="dxa" w:w="61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8</w:t>
            </w:r>
          </w:p>
        </w:tc>
      </w:tr>
      <w:tr>
        <w:tc>
          <w:tcPr>
            <w:tcW w:type="dxa" w:w="32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Time period covered</w:t>
            </w:r>
          </w:p>
        </w:tc>
        <w:tc>
          <w:tcPr>
            <w:tcW w:type="dxa" w:w="61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2021 – 2023 (3 years)</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Departments</w:t>
            </w:r>
          </w:p>
        </w:tc>
        <w:tc>
          <w:tcPr>
            <w:tcW w:type="dxa" w:w="61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6 (HR, Sales, Finance, Operations, Marketing, IT)</w:t>
            </w:r>
          </w:p>
        </w:tc>
      </w:tr>
      <w:tr>
        <w:tc>
          <w:tcPr>
            <w:tcW w:type="dxa" w:w="32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Expense categories</w:t>
            </w:r>
          </w:p>
        </w:tc>
        <w:tc>
          <w:tcPr>
            <w:tcW w:type="dxa" w:w="61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6 (Travel, Utilities, Training, Marketing, Infrastructure, Salaries)</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Regions</w:t>
            </w:r>
          </w:p>
        </w:tc>
        <w:tc>
          <w:tcPr>
            <w:tcW w:type="dxa" w:w="61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5 (Central, East, North, South, West)</w:t>
            </w:r>
          </w:p>
        </w:tc>
      </w:tr>
      <w:tr>
        <w:tc>
          <w:tcPr>
            <w:tcW w:type="dxa" w:w="32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Payment methods</w:t>
            </w:r>
          </w:p>
        </w:tc>
        <w:tc>
          <w:tcPr>
            <w:tcW w:type="dxa" w:w="61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4 (Card, UPI, Bank Transfer, Cash)</w:t>
            </w:r>
          </w:p>
        </w:tc>
      </w:tr>
    </w:tbl>
    <w:p>
      <w:pPr>
        <w:spacing w:before="260"/>
      </w:pPr>
    </w:p>
    <w:p>
      <w:pPr>
        <w:pStyle w:val="Heading2"/>
        <w:spacing w:after="120" w:before="240"/>
      </w:pPr>
      <w:r>
        <w:rPr>
          <w:rFonts w:ascii="Calibri" w:cs="Calibri" w:eastAsia="Calibri" w:hAnsi="Calibri"/>
          <w:b/>
          <w:bCs/>
          <w:color w:val="2E5AA8"/>
          <w:sz w:val="24"/>
          <w:szCs w:val="24"/>
        </w:rPr>
        <w:t xml:space="preserve">Column Descriptions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Column</w:t>
            </w:r>
          </w:p>
        </w:tc>
        <w:tc>
          <w:tcPr>
            <w:tcW w:type="dxa" w:w="67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Description</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Date</w:t>
            </w:r>
          </w:p>
        </w:tc>
        <w:tc>
          <w:tcPr>
            <w:tcW w:type="dxa" w:w="67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Transaction date (2021–2023)</w:t>
            </w:r>
          </w:p>
        </w:tc>
      </w:tr>
      <w:tr>
        <w:tc>
          <w:tcPr>
            <w:tcW w:type="dxa" w:w="2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Department</w:t>
            </w:r>
          </w:p>
        </w:tc>
        <w:tc>
          <w:tcPr>
            <w:tcW w:type="dxa" w:w="67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HR, Sales, Finance, Operations, Marketing, IT</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Category</w:t>
            </w:r>
          </w:p>
        </w:tc>
        <w:tc>
          <w:tcPr>
            <w:tcW w:type="dxa" w:w="67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Travel, Utilities, Training, Marketing, Infrastructure, Salaries</w:t>
            </w:r>
          </w:p>
        </w:tc>
      </w:tr>
      <w:tr>
        <w:tc>
          <w:tcPr>
            <w:tcW w:type="dxa" w:w="2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Region</w:t>
            </w:r>
          </w:p>
        </w:tc>
        <w:tc>
          <w:tcPr>
            <w:tcW w:type="dxa" w:w="67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Central, East, North, South, West</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Budget Amount</w:t>
            </w:r>
          </w:p>
        </w:tc>
        <w:tc>
          <w:tcPr>
            <w:tcW w:type="dxa" w:w="67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Planned spend for the transaction</w:t>
            </w:r>
          </w:p>
        </w:tc>
      </w:tr>
      <w:tr>
        <w:tc>
          <w:tcPr>
            <w:tcW w:type="dxa" w:w="2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Actual Amount</w:t>
            </w:r>
          </w:p>
        </w:tc>
        <w:tc>
          <w:tcPr>
            <w:tcW w:type="dxa" w:w="67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Actual spend recorded for the transaction</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Payment Method</w:t>
            </w:r>
          </w:p>
        </w:tc>
        <w:tc>
          <w:tcPr>
            <w:tcW w:type="dxa" w:w="67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Card, UPI, Bank Transfer, Cash</w:t>
            </w:r>
          </w:p>
        </w:tc>
      </w:tr>
      <w:tr>
        <w:tc>
          <w:tcPr>
            <w:tcW w:type="dxa" w:w="2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Transaction ID</w:t>
            </w:r>
          </w:p>
        </w:tc>
        <w:tc>
          <w:tcPr>
            <w:tcW w:type="dxa" w:w="67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Unique record identifier</w:t>
            </w:r>
          </w:p>
        </w:tc>
      </w:tr>
    </w:tbl>
    <w:p>
      <w:r>
        <w:br w:type="page"/>
      </w:r>
    </w:p>
    <w:p>
      <w:pPr>
        <w:pStyle w:val="Heading1"/>
        <w:pBdr>
          <w:bottom w:val="single" w:color="2E5AA8" w:sz="6" w:space="4"/>
        </w:pBdr>
        <w:spacing w:after="200" w:before="200"/>
      </w:pPr>
      <w:r>
        <w:rPr>
          <w:rFonts w:ascii="Calibri" w:cs="Calibri" w:eastAsia="Calibri" w:hAnsi="Calibri"/>
          <w:b/>
          <w:bCs/>
          <w:color w:val="1F3864"/>
          <w:sz w:val="32"/>
          <w:szCs w:val="32"/>
        </w:rPr>
        <w:t xml:space="preserve">3.  </w:t>
      </w:r>
      <w:r>
        <w:rPr>
          <w:rFonts w:ascii="Calibri" w:cs="Calibri" w:eastAsia="Calibri" w:hAnsi="Calibri"/>
          <w:b/>
          <w:bCs/>
          <w:color w:val="1F3864"/>
          <w:sz w:val="32"/>
          <w:szCs w:val="32"/>
        </w:rPr>
        <w:t xml:space="preserve">Data Cleaning &amp; Preparation (Google Colab)</w:t>
      </w:r>
    </w:p>
    <w:p>
      <w:pPr>
        <w:spacing w:after="160" w:line="276"/>
        <w:jc w:val="both"/>
      </w:pPr>
      <w:r>
        <w:rPr>
          <w:rFonts w:ascii="Calibri" w:cs="Calibri" w:eastAsia="Calibri" w:hAnsi="Calibri"/>
          <w:color w:val="262626"/>
          <w:sz w:val="22"/>
          <w:szCs w:val="22"/>
        </w:rPr>
        <w:t xml:space="preserve">Before the dataset could be modeled in Power BI, it was inspected and cleaned in Google Colab using Python's pandas and NumPy libraries. The notebook (Cleaning.ipynb) followed a structured, five-step wrangling process.</w:t>
      </w:r>
    </w:p>
    <w:p>
      <w:pPr>
        <w:pStyle w:val="Heading2"/>
        <w:spacing w:after="120" w:before="240"/>
      </w:pPr>
      <w:r>
        <w:rPr>
          <w:rFonts w:ascii="Calibri" w:cs="Calibri" w:eastAsia="Calibri" w:hAnsi="Calibri"/>
          <w:b/>
          <w:bCs/>
          <w:color w:val="2E5AA8"/>
          <w:sz w:val="24"/>
          <w:szCs w:val="24"/>
        </w:rPr>
        <w:t xml:space="preserve">Cleaning Workflow</w:t>
      </w:r>
    </w:p>
    <w:p>
      <w:pPr>
        <w:pStyle w:val="ListParagraph"/>
        <w:numPr>
          <w:ilvl w:val="0"/>
          <w:numId w:val="2"/>
        </w:numPr>
        <w:spacing w:after="90"/>
      </w:pPr>
      <w:r>
        <w:rPr>
          <w:rFonts w:ascii="Calibri" w:cs="Calibri" w:eastAsia="Calibri" w:hAnsi="Calibri"/>
          <w:color w:val="262626"/>
          <w:sz w:val="22"/>
          <w:szCs w:val="22"/>
        </w:rPr>
        <w:t xml:space="preserve">Load &amp; Inspect — Read the Kaggle Excel file into a pandas DataFrame and reviewed df.head(), df.info(), and df.describe() to understand structure, data types, and summary statistics.</w:t>
      </w:r>
    </w:p>
    <w:p>
      <w:pPr>
        <w:pStyle w:val="ListParagraph"/>
        <w:numPr>
          <w:ilvl w:val="0"/>
          <w:numId w:val="2"/>
        </w:numPr>
        <w:spacing w:after="90"/>
      </w:pPr>
      <w:r>
        <w:rPr>
          <w:rFonts w:ascii="Calibri" w:cs="Calibri" w:eastAsia="Calibri" w:hAnsi="Calibri"/>
          <w:color w:val="262626"/>
          <w:sz w:val="22"/>
          <w:szCs w:val="22"/>
        </w:rPr>
        <w:t xml:space="preserve">Check for Nulls — Ran df.isnull().sum() and found a small number of missing values: 1 in Department, 1 in Category, 3 in Region, and 3 in Transaction ID.</w:t>
      </w:r>
    </w:p>
    <w:p>
      <w:pPr>
        <w:pStyle w:val="ListParagraph"/>
        <w:numPr>
          <w:ilvl w:val="0"/>
          <w:numId w:val="2"/>
        </w:numPr>
        <w:spacing w:after="90"/>
      </w:pPr>
      <w:r>
        <w:rPr>
          <w:rFonts w:ascii="Calibri" w:cs="Calibri" w:eastAsia="Calibri" w:hAnsi="Calibri"/>
          <w:color w:val="262626"/>
          <w:sz w:val="22"/>
          <w:szCs w:val="22"/>
        </w:rPr>
        <w:t xml:space="preserve">Remove Duplicates — Applied df.drop_duplicates() to ensure every transaction row was unique.</w:t>
      </w:r>
    </w:p>
    <w:p>
      <w:pPr>
        <w:pStyle w:val="ListParagraph"/>
        <w:numPr>
          <w:ilvl w:val="0"/>
          <w:numId w:val="2"/>
        </w:numPr>
        <w:spacing w:after="90"/>
      </w:pPr>
      <w:r>
        <w:rPr>
          <w:rFonts w:ascii="Calibri" w:cs="Calibri" w:eastAsia="Calibri" w:hAnsi="Calibri"/>
          <w:color w:val="262626"/>
          <w:sz w:val="22"/>
          <w:szCs w:val="22"/>
        </w:rPr>
        <w:t xml:space="preserve">Drop Missing Rows — Used df.dropna() to remove incomplete rows, leaving a fully populated dataset with no null values.</w:t>
      </w:r>
    </w:p>
    <w:p>
      <w:pPr>
        <w:pStyle w:val="ListParagraph"/>
        <w:numPr>
          <w:ilvl w:val="0"/>
          <w:numId w:val="2"/>
        </w:numPr>
        <w:spacing w:after="90"/>
      </w:pPr>
      <w:r>
        <w:rPr>
          <w:rFonts w:ascii="Calibri" w:cs="Calibri" w:eastAsia="Calibri" w:hAnsi="Calibri"/>
          <w:color w:val="262626"/>
          <w:sz w:val="22"/>
          <w:szCs w:val="22"/>
        </w:rPr>
        <w:t xml:space="preserve">Export Cleaned File — Saved the result as cleaned_budget_vs_actual_data.xlsx, ready for import into Power BI.</w:t>
      </w:r>
    </w:p>
    <w:p>
      <w:pPr>
        <w:pStyle w:val="Heading2"/>
        <w:spacing w:after="120" w:before="240"/>
      </w:pPr>
      <w:r>
        <w:rPr>
          <w:rFonts w:ascii="Calibri" w:cs="Calibri" w:eastAsia="Calibri" w:hAnsi="Calibri"/>
          <w:b/>
          <w:bCs/>
          <w:color w:val="2E5AA8"/>
          <w:sz w:val="24"/>
          <w:szCs w:val="24"/>
        </w:rPr>
        <w:t xml:space="preserve">Data Quality Outcome</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DCE6F5" w:val="clear"/>
            <w:tcMar>
              <w:top w:type="dxa" w:w="160"/>
              <w:left w:type="dxa" w:w="120"/>
              <w:bottom w:type="dxa" w:w="160"/>
              <w:right w:type="dxa" w:w="120"/>
            </w:tcMar>
          </w:tcPr>
          <w:p>
            <w:pPr>
              <w:spacing w:after="40"/>
              <w:jc w:val="center"/>
            </w:pPr>
            <w:r>
              <w:rPr>
                <w:rFonts w:ascii="Calibri" w:cs="Calibri" w:eastAsia="Calibri" w:hAnsi="Calibri"/>
                <w:b/>
                <w:bCs/>
                <w:color w:val="1F3864"/>
                <w:sz w:val="30"/>
                <w:szCs w:val="30"/>
              </w:rPr>
              <w:t xml:space="preserve">10,010</w:t>
            </w:r>
          </w:p>
          <w:p>
            <w:pPr>
              <w:jc w:val="center"/>
            </w:pPr>
            <w:r>
              <w:rPr>
                <w:rFonts w:ascii="Calibri" w:cs="Calibri" w:eastAsia="Calibri" w:hAnsi="Calibri"/>
                <w:color w:val="595959"/>
                <w:sz w:val="18"/>
                <w:szCs w:val="18"/>
              </w:rPr>
              <w:t xml:space="preserve">Raw Rows</w:t>
            </w:r>
          </w:p>
        </w:tc>
        <w:tc>
          <w:tcPr>
            <w:tcW w:type="dxa" w:w="2337"/>
            <w:shd w:fill="DCE6F5" w:val="clear"/>
            <w:tcMar>
              <w:top w:type="dxa" w:w="160"/>
              <w:left w:type="dxa" w:w="120"/>
              <w:bottom w:type="dxa" w:w="160"/>
              <w:right w:type="dxa" w:w="120"/>
            </w:tcMar>
          </w:tcPr>
          <w:p>
            <w:pPr>
              <w:spacing w:after="40"/>
              <w:jc w:val="center"/>
            </w:pPr>
            <w:r>
              <w:rPr>
                <w:rFonts w:ascii="Calibri" w:cs="Calibri" w:eastAsia="Calibri" w:hAnsi="Calibri"/>
                <w:b/>
                <w:bCs/>
                <w:color w:val="1F3864"/>
                <w:sz w:val="30"/>
                <w:szCs w:val="30"/>
              </w:rPr>
              <w:t xml:space="preserve">10,002</w:t>
            </w:r>
          </w:p>
          <w:p>
            <w:pPr>
              <w:jc w:val="center"/>
            </w:pPr>
            <w:r>
              <w:rPr>
                <w:rFonts w:ascii="Calibri" w:cs="Calibri" w:eastAsia="Calibri" w:hAnsi="Calibri"/>
                <w:color w:val="595959"/>
                <w:sz w:val="18"/>
                <w:szCs w:val="18"/>
              </w:rPr>
              <w:t xml:space="preserve">Cleaned Rows</w:t>
            </w:r>
          </w:p>
        </w:tc>
        <w:tc>
          <w:tcPr>
            <w:tcW w:type="dxa" w:w="2337"/>
            <w:shd w:fill="DCE6F5" w:val="clear"/>
            <w:tcMar>
              <w:top w:type="dxa" w:w="160"/>
              <w:left w:type="dxa" w:w="120"/>
              <w:bottom w:type="dxa" w:w="160"/>
              <w:right w:type="dxa" w:w="120"/>
            </w:tcMar>
          </w:tcPr>
          <w:p>
            <w:pPr>
              <w:spacing w:after="40"/>
              <w:jc w:val="center"/>
            </w:pPr>
            <w:r>
              <w:rPr>
                <w:rFonts w:ascii="Calibri" w:cs="Calibri" w:eastAsia="Calibri" w:hAnsi="Calibri"/>
                <w:b/>
                <w:bCs/>
                <w:color w:val="1F3864"/>
                <w:sz w:val="30"/>
                <w:szCs w:val="30"/>
              </w:rPr>
              <w:t xml:space="preserve">8</w:t>
            </w:r>
          </w:p>
          <w:p>
            <w:pPr>
              <w:jc w:val="center"/>
            </w:pPr>
            <w:r>
              <w:rPr>
                <w:rFonts w:ascii="Calibri" w:cs="Calibri" w:eastAsia="Calibri" w:hAnsi="Calibri"/>
                <w:color w:val="595959"/>
                <w:sz w:val="18"/>
                <w:szCs w:val="18"/>
              </w:rPr>
              <w:t xml:space="preserve">Rows Removed</w:t>
            </w:r>
          </w:p>
        </w:tc>
        <w:tc>
          <w:tcPr>
            <w:tcW w:type="dxa" w:w="2337"/>
            <w:shd w:fill="DCE6F5" w:val="clear"/>
            <w:tcMar>
              <w:top w:type="dxa" w:w="160"/>
              <w:left w:type="dxa" w:w="120"/>
              <w:bottom w:type="dxa" w:w="160"/>
              <w:right w:type="dxa" w:w="120"/>
            </w:tcMar>
          </w:tcPr>
          <w:p>
            <w:pPr>
              <w:spacing w:after="40"/>
              <w:jc w:val="center"/>
            </w:pPr>
            <w:r>
              <w:rPr>
                <w:rFonts w:ascii="Calibri" w:cs="Calibri" w:eastAsia="Calibri" w:hAnsi="Calibri"/>
                <w:b/>
                <w:bCs/>
                <w:color w:val="1F3864"/>
                <w:sz w:val="30"/>
                <w:szCs w:val="30"/>
              </w:rPr>
              <w:t xml:space="preserve">0.08%</w:t>
            </w:r>
          </w:p>
          <w:p>
            <w:pPr>
              <w:jc w:val="center"/>
            </w:pPr>
            <w:r>
              <w:rPr>
                <w:rFonts w:ascii="Calibri" w:cs="Calibri" w:eastAsia="Calibri" w:hAnsi="Calibri"/>
                <w:color w:val="595959"/>
                <w:sz w:val="18"/>
                <w:szCs w:val="18"/>
              </w:rPr>
              <w:t xml:space="preserve">Data Loss</w:t>
            </w:r>
          </w:p>
        </w:tc>
      </w:tr>
    </w:tbl>
    <w:p>
      <w:pPr>
        <w:spacing w:before="260"/>
      </w:pPr>
    </w:p>
    <w:p>
      <w:pPr>
        <w:spacing w:after="160" w:line="276"/>
        <w:jc w:val="both"/>
      </w:pPr>
      <w:r>
        <w:rPr>
          <w:rFonts w:ascii="Calibri" w:cs="Calibri" w:eastAsia="Calibri" w:hAnsi="Calibri"/>
          <w:color w:val="262626"/>
          <w:sz w:val="22"/>
          <w:szCs w:val="22"/>
        </w:rPr>
        <w:t xml:space="preserve">Only 8 of the original 10,010 rows (0.08%) were removed due to missing values or duplication, indicating the source dataset was already of high quality. This minimal data loss means the cleaned dataset remains highly representative of the original three-year record.</w:t>
      </w:r>
    </w:p>
    <w:p>
      <w:r>
        <w:br w:type="page"/>
      </w:r>
    </w:p>
    <w:p>
      <w:pPr>
        <w:pStyle w:val="Heading1"/>
        <w:pBdr>
          <w:bottom w:val="single" w:color="2E5AA8" w:sz="6" w:space="4"/>
        </w:pBdr>
        <w:spacing w:after="200" w:before="200"/>
      </w:pPr>
      <w:r>
        <w:rPr>
          <w:rFonts w:ascii="Calibri" w:cs="Calibri" w:eastAsia="Calibri" w:hAnsi="Calibri"/>
          <w:b/>
          <w:bCs/>
          <w:color w:val="1F3864"/>
          <w:sz w:val="32"/>
          <w:szCs w:val="32"/>
        </w:rPr>
        <w:t xml:space="preserve">4.  </w:t>
      </w:r>
      <w:r>
        <w:rPr>
          <w:rFonts w:ascii="Calibri" w:cs="Calibri" w:eastAsia="Calibri" w:hAnsi="Calibri"/>
          <w:b/>
          <w:bCs/>
          <w:color w:val="1F3864"/>
          <w:sz w:val="32"/>
          <w:szCs w:val="32"/>
        </w:rPr>
        <w:t xml:space="preserve">Data Modeling in Power BI (Power Query &amp; DAX)</w:t>
      </w:r>
    </w:p>
    <w:p>
      <w:pPr>
        <w:spacing w:after="160" w:line="276"/>
        <w:jc w:val="both"/>
      </w:pPr>
      <w:r>
        <w:rPr>
          <w:rFonts w:ascii="Calibri" w:cs="Calibri" w:eastAsia="Calibri" w:hAnsi="Calibri"/>
          <w:color w:val="262626"/>
          <w:sz w:val="22"/>
          <w:szCs w:val="22"/>
        </w:rPr>
        <w:t xml:space="preserve">With a clean dataset in hand, the next stage was to load and shape the data inside Power BI Desktop so it was ready for visualization.</w:t>
      </w:r>
    </w:p>
    <w:p>
      <w:pPr>
        <w:pStyle w:val="Heading2"/>
        <w:spacing w:after="120" w:before="240"/>
      </w:pPr>
      <w:r>
        <w:rPr>
          <w:rFonts w:ascii="Calibri" w:cs="Calibri" w:eastAsia="Calibri" w:hAnsi="Calibri"/>
          <w:b/>
          <w:bCs/>
          <w:color w:val="2E5AA8"/>
          <w:sz w:val="24"/>
          <w:szCs w:val="24"/>
        </w:rPr>
        <w:t xml:space="preserve">Modeling Steps</w:t>
      </w:r>
    </w:p>
    <w:p>
      <w:pPr>
        <w:pStyle w:val="ListParagraph"/>
        <w:numPr>
          <w:ilvl w:val="0"/>
          <w:numId w:val="2"/>
        </w:numPr>
        <w:spacing w:after="90"/>
      </w:pPr>
      <w:r>
        <w:rPr>
          <w:rFonts w:ascii="Calibri" w:cs="Calibri" w:eastAsia="Calibri" w:hAnsi="Calibri"/>
          <w:color w:val="262626"/>
          <w:sz w:val="22"/>
          <w:szCs w:val="22"/>
        </w:rPr>
        <w:t xml:space="preserve">Import — Loaded cleaned_budget_vs_actual_data.xlsx into Power BI Desktop via Get Data.</w:t>
      </w:r>
    </w:p>
    <w:p>
      <w:pPr>
        <w:pStyle w:val="ListParagraph"/>
        <w:numPr>
          <w:ilvl w:val="0"/>
          <w:numId w:val="2"/>
        </w:numPr>
        <w:spacing w:after="90"/>
      </w:pPr>
      <w:r>
        <w:rPr>
          <w:rFonts w:ascii="Calibri" w:cs="Calibri" w:eastAsia="Calibri" w:hAnsi="Calibri"/>
          <w:color w:val="262626"/>
          <w:sz w:val="22"/>
          <w:szCs w:val="22"/>
        </w:rPr>
        <w:t xml:space="preserve">Assign Data Types — In Power Query Editor, set Date to Date/Time, Budget Amount and Actual Amount to whole numbers, and all remaining fields to Text.</w:t>
      </w:r>
    </w:p>
    <w:p>
      <w:pPr>
        <w:pStyle w:val="ListParagraph"/>
        <w:numPr>
          <w:ilvl w:val="0"/>
          <w:numId w:val="2"/>
        </w:numPr>
        <w:spacing w:after="90"/>
      </w:pPr>
      <w:r>
        <w:rPr>
          <w:rFonts w:ascii="Calibri" w:cs="Calibri" w:eastAsia="Calibri" w:hAnsi="Calibri"/>
          <w:color w:val="262626"/>
          <w:sz w:val="22"/>
          <w:szCs w:val="22"/>
        </w:rPr>
        <w:t xml:space="preserve">Create Measures — Built DAX measures to quantify budget performance at any level of aggregation.</w:t>
      </w:r>
    </w:p>
    <w:p>
      <w:pPr>
        <w:pStyle w:val="ListParagraph"/>
        <w:numPr>
          <w:ilvl w:val="0"/>
          <w:numId w:val="2"/>
        </w:numPr>
        <w:spacing w:after="90"/>
      </w:pPr>
      <w:r>
        <w:rPr>
          <w:rFonts w:ascii="Calibri" w:cs="Calibri" w:eastAsia="Calibri" w:hAnsi="Calibri"/>
          <w:color w:val="262626"/>
          <w:sz w:val="22"/>
          <w:szCs w:val="22"/>
        </w:rPr>
        <w:t xml:space="preserve">Load to Model — Applied the query and loaded the shaped table into the report's data model, ready for visuals and slicers.</w:t>
      </w:r>
    </w:p>
    <w:p>
      <w:pPr>
        <w:pStyle w:val="Heading2"/>
        <w:spacing w:after="120" w:before="240"/>
      </w:pPr>
      <w:r>
        <w:rPr>
          <w:rFonts w:ascii="Calibri" w:cs="Calibri" w:eastAsia="Calibri" w:hAnsi="Calibri"/>
          <w:b/>
          <w:bCs/>
          <w:color w:val="2E5AA8"/>
          <w:sz w:val="24"/>
          <w:szCs w:val="24"/>
        </w:rPr>
        <w:t xml:space="preserve">Key DAX Measures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shd w:fill="1F3864"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Measure</w:t>
            </w:r>
          </w:p>
        </w:tc>
        <w:tc>
          <w:tcPr>
            <w:tcW w:type="dxa" w:w="340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Logic</w:t>
            </w:r>
          </w:p>
        </w:tc>
        <w:tc>
          <w:tcPr>
            <w:tcW w:type="dxa" w:w="35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Purpose</w:t>
            </w:r>
          </w:p>
        </w:tc>
      </w:tr>
      <w:tr>
        <w:tc>
          <w:tcPr>
            <w:tcW w:type="dxa" w:w="24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Total Variance</w:t>
            </w:r>
          </w:p>
        </w:tc>
        <w:tc>
          <w:tcPr>
            <w:tcW w:type="dxa" w:w="34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Actual Amount − Budget Amount</w:t>
            </w:r>
          </w:p>
        </w:tc>
        <w:tc>
          <w:tcPr>
            <w:tcW w:type="dxa" w:w="35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Quantifies absolute overspend/underspend</w:t>
            </w:r>
          </w:p>
        </w:tc>
      </w:tr>
      <w:tr>
        <w:tc>
          <w:tcPr>
            <w:tcW w:type="dxa" w:w="24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Variance %</w:t>
            </w:r>
          </w:p>
        </w:tc>
        <w:tc>
          <w:tcPr>
            <w:tcW w:type="dxa" w:w="34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(Actual − Budget) / Budget</w:t>
            </w:r>
          </w:p>
        </w:tc>
        <w:tc>
          <w:tcPr>
            <w:tcW w:type="dxa" w:w="35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Expresses variance as a proportion of budget</w:t>
            </w:r>
          </w:p>
        </w:tc>
      </w:tr>
    </w:tbl>
    <w:p>
      <w:r>
        <w:br w:type="page"/>
      </w:r>
    </w:p>
    <w:p>
      <w:pPr>
        <w:pStyle w:val="Heading1"/>
        <w:pBdr>
          <w:bottom w:val="single" w:color="2E5AA8" w:sz="6" w:space="4"/>
        </w:pBdr>
        <w:spacing w:after="200" w:before="200"/>
      </w:pPr>
      <w:r>
        <w:rPr>
          <w:rFonts w:ascii="Calibri" w:cs="Calibri" w:eastAsia="Calibri" w:hAnsi="Calibri"/>
          <w:b/>
          <w:bCs/>
          <w:color w:val="1F3864"/>
          <w:sz w:val="32"/>
          <w:szCs w:val="32"/>
        </w:rPr>
        <w:t xml:space="preserve">5.  </w:t>
      </w:r>
      <w:r>
        <w:rPr>
          <w:rFonts w:ascii="Calibri" w:cs="Calibri" w:eastAsia="Calibri" w:hAnsi="Calibri"/>
          <w:b/>
          <w:bCs/>
          <w:color w:val="1F3864"/>
          <w:sz w:val="32"/>
          <w:szCs w:val="32"/>
        </w:rPr>
        <w:t xml:space="preserve">Dashboard Design</w:t>
      </w:r>
    </w:p>
    <w:p>
      <w:pPr>
        <w:spacing w:after="160" w:line="276"/>
        <w:jc w:val="both"/>
      </w:pPr>
      <w:r>
        <w:rPr>
          <w:rFonts w:ascii="Calibri" w:cs="Calibri" w:eastAsia="Calibri" w:hAnsi="Calibri"/>
          <w:color w:val="262626"/>
          <w:sz w:val="22"/>
          <w:szCs w:val="22"/>
        </w:rPr>
        <w:t xml:space="preserve">The dashboard was designed to move a reader from a high-level summary to department- and region-level detail within a single screen, using KPI cards for headline numbers, charts for comparison, and slicers for interactive filtering.</w:t>
      </w:r>
    </w:p>
    <w:p>
      <w:pPr>
        <w:pStyle w:val="Heading2"/>
        <w:spacing w:after="120" w:before="240"/>
      </w:pPr>
      <w:r>
        <w:rPr>
          <w:rFonts w:ascii="Calibri" w:cs="Calibri" w:eastAsia="Calibri" w:hAnsi="Calibri"/>
          <w:b/>
          <w:bCs/>
          <w:color w:val="2E5AA8"/>
          <w:sz w:val="24"/>
          <w:szCs w:val="24"/>
        </w:rPr>
        <w:t xml:space="preserve">Visual Elements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50"/>
      </w:tblGrid>
      <w:tr>
        <w:trPr>
          <w:tblHeader/>
        </w:trPr>
        <w:tc>
          <w:tcPr>
            <w:tcW w:type="dxa" w:w="3300"/>
            <w:shd w:fill="1F3864"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Visual</w:t>
            </w:r>
          </w:p>
        </w:tc>
        <w:tc>
          <w:tcPr>
            <w:tcW w:type="dxa" w:w="220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Type</w:t>
            </w:r>
          </w:p>
        </w:tc>
        <w:tc>
          <w:tcPr>
            <w:tcW w:type="dxa" w:w="38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Purpose</w:t>
            </w:r>
          </w:p>
        </w:tc>
      </w:tr>
      <w:tr>
        <w:tc>
          <w:tcPr>
            <w:tcW w:type="dxa" w:w="33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Total Budget / Actual / Variance / Variance %</w:t>
            </w:r>
          </w:p>
        </w:tc>
        <w:tc>
          <w:tcPr>
            <w:tcW w:type="dxa" w:w="2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KPI Cards</w:t>
            </w:r>
          </w:p>
        </w:tc>
        <w:tc>
          <w:tcPr>
            <w:tcW w:type="dxa" w:w="38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Headline performance at a glance</w:t>
            </w:r>
          </w:p>
        </w:tc>
      </w:tr>
      <w:tr>
        <w:tc>
          <w:tcPr>
            <w:tcW w:type="dxa" w:w="33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Budget vs Actual by Department</w:t>
            </w:r>
          </w:p>
        </w:tc>
        <w:tc>
          <w:tcPr>
            <w:tcW w:type="dxa" w:w="22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Clustered column</w:t>
            </w:r>
          </w:p>
        </w:tc>
        <w:tc>
          <w:tcPr>
            <w:tcW w:type="dxa" w:w="38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Surfaces which departments exceed budget</w:t>
            </w:r>
          </w:p>
        </w:tc>
      </w:tr>
      <w:tr>
        <w:tc>
          <w:tcPr>
            <w:tcW w:type="dxa" w:w="33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Budget vs Actual by Category</w:t>
            </w:r>
          </w:p>
        </w:tc>
        <w:tc>
          <w:tcPr>
            <w:tcW w:type="dxa" w:w="2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Clustered bar</w:t>
            </w:r>
          </w:p>
        </w:tc>
        <w:tc>
          <w:tcPr>
            <w:tcW w:type="dxa" w:w="38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Flags spending categories with the biggest gaps</w:t>
            </w:r>
          </w:p>
        </w:tc>
      </w:tr>
      <w:tr>
        <w:tc>
          <w:tcPr>
            <w:tcW w:type="dxa" w:w="33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Budget vs Actual Trend</w:t>
            </w:r>
          </w:p>
        </w:tc>
        <w:tc>
          <w:tcPr>
            <w:tcW w:type="dxa" w:w="22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Line chart</w:t>
            </w:r>
          </w:p>
        </w:tc>
        <w:tc>
          <w:tcPr>
            <w:tcW w:type="dxa" w:w="38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Tracks planned vs. spent value by region over time</w:t>
            </w:r>
          </w:p>
        </w:tc>
      </w:tr>
      <w:tr>
        <w:tc>
          <w:tcPr>
            <w:tcW w:type="dxa" w:w="33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Budget vs Actual by Region</w:t>
            </w:r>
          </w:p>
        </w:tc>
        <w:tc>
          <w:tcPr>
            <w:tcW w:type="dxa" w:w="2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Clustered column</w:t>
            </w:r>
          </w:p>
        </w:tc>
        <w:tc>
          <w:tcPr>
            <w:tcW w:type="dxa" w:w="38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Highlights regions with higher overspend</w:t>
            </w:r>
          </w:p>
        </w:tc>
      </w:tr>
      <w:tr>
        <w:tc>
          <w:tcPr>
            <w:tcW w:type="dxa" w:w="33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Actual Expense by Payment Method</w:t>
            </w:r>
          </w:p>
        </w:tc>
        <w:tc>
          <w:tcPr>
            <w:tcW w:type="dxa" w:w="22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Donut chart</w:t>
            </w:r>
          </w:p>
        </w:tc>
        <w:tc>
          <w:tcPr>
            <w:tcW w:type="dxa" w:w="38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Shows the spend split across payment channels</w:t>
            </w:r>
          </w:p>
        </w:tc>
      </w:tr>
      <w:tr>
        <w:tc>
          <w:tcPr>
            <w:tcW w:type="dxa" w:w="33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Overspending by Department</w:t>
            </w:r>
          </w:p>
        </w:tc>
        <w:tc>
          <w:tcPr>
            <w:tcW w:type="dxa" w:w="22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Sorted bar chart</w:t>
            </w:r>
          </w:p>
        </w:tc>
        <w:tc>
          <w:tcPr>
            <w:tcW w:type="dxa" w:w="38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Ranks departments by variance, descending</w:t>
            </w:r>
          </w:p>
        </w:tc>
      </w:tr>
    </w:tbl>
    <w:p>
      <w:pPr>
        <w:spacing w:before="260"/>
      </w:pPr>
    </w:p>
    <w:p>
      <w:pPr>
        <w:spacing w:after="160" w:line="276"/>
        <w:jc w:val="both"/>
      </w:pPr>
      <w:r>
        <w:rPr>
          <w:rFonts w:ascii="Calibri" w:cs="Calibri" w:eastAsia="Calibri" w:hAnsi="Calibri"/>
          <w:color w:val="262626"/>
          <w:sz w:val="22"/>
          <w:szCs w:val="22"/>
        </w:rPr>
        <w:t xml:space="preserve">Slicers for Region and Department were added so that every visual on the page responds interactively to a user's selection, allowing a viewer to drill from the organization-wide picture down to a single department or region without leaving the page.</w:t>
      </w:r>
    </w:p>
    <w:p>
      <w:r>
        <w:br w:type="page"/>
      </w:r>
    </w:p>
    <w:p>
      <w:pPr>
        <w:pStyle w:val="Heading1"/>
        <w:pBdr>
          <w:bottom w:val="single" w:color="2E5AA8" w:sz="6" w:space="4"/>
        </w:pBdr>
        <w:spacing w:after="200" w:before="200"/>
      </w:pPr>
      <w:r>
        <w:rPr>
          <w:rFonts w:ascii="Calibri" w:cs="Calibri" w:eastAsia="Calibri" w:hAnsi="Calibri"/>
          <w:b/>
          <w:bCs/>
          <w:color w:val="1F3864"/>
          <w:sz w:val="32"/>
          <w:szCs w:val="32"/>
        </w:rPr>
        <w:t xml:space="preserve">6.  </w:t>
      </w:r>
      <w:r>
        <w:rPr>
          <w:rFonts w:ascii="Calibri" w:cs="Calibri" w:eastAsia="Calibri" w:hAnsi="Calibri"/>
          <w:b/>
          <w:bCs/>
          <w:color w:val="1F3864"/>
          <w:sz w:val="32"/>
          <w:szCs w:val="32"/>
        </w:rPr>
        <w:t xml:space="preserve">Results – KPI Overview &amp; Dashboard View</w:t>
      </w:r>
    </w:p>
    <w:p>
      <w:pPr>
        <w:spacing w:after="160" w:line="276"/>
        <w:jc w:val="both"/>
      </w:pPr>
      <w:r>
        <w:rPr>
          <w:rFonts w:ascii="Calibri" w:cs="Calibri" w:eastAsia="Calibri" w:hAnsi="Calibri"/>
          <w:color w:val="262626"/>
          <w:sz w:val="22"/>
          <w:szCs w:val="22"/>
        </w:rPr>
        <w:t xml:space="preserve">Actual spending outpaced budget across every department, region, and category tracked in the dataset. The headline KPIs from the dashboard are summarized below.</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DCE6F5" w:val="clear"/>
            <w:tcMar>
              <w:top w:type="dxa" w:w="160"/>
              <w:left w:type="dxa" w:w="120"/>
              <w:bottom w:type="dxa" w:w="160"/>
              <w:right w:type="dxa" w:w="120"/>
            </w:tcMar>
          </w:tcPr>
          <w:p>
            <w:pPr>
              <w:spacing w:after="40"/>
              <w:jc w:val="center"/>
            </w:pPr>
            <w:r>
              <w:rPr>
                <w:rFonts w:ascii="Calibri" w:cs="Calibri" w:eastAsia="Calibri" w:hAnsi="Calibri"/>
                <w:b/>
                <w:bCs/>
                <w:color w:val="1F3864"/>
                <w:sz w:val="30"/>
                <w:szCs w:val="30"/>
              </w:rPr>
              <w:t xml:space="preserve">₹796M</w:t>
            </w:r>
          </w:p>
          <w:p>
            <w:pPr>
              <w:jc w:val="center"/>
            </w:pPr>
            <w:r>
              <w:rPr>
                <w:rFonts w:ascii="Calibri" w:cs="Calibri" w:eastAsia="Calibri" w:hAnsi="Calibri"/>
                <w:color w:val="595959"/>
                <w:sz w:val="18"/>
                <w:szCs w:val="18"/>
              </w:rPr>
              <w:t xml:space="preserve">Total Budget</w:t>
            </w:r>
          </w:p>
        </w:tc>
        <w:tc>
          <w:tcPr>
            <w:tcW w:type="dxa" w:w="2337"/>
            <w:shd w:fill="DCE6F5" w:val="clear"/>
            <w:tcMar>
              <w:top w:type="dxa" w:w="160"/>
              <w:left w:type="dxa" w:w="120"/>
              <w:bottom w:type="dxa" w:w="160"/>
              <w:right w:type="dxa" w:w="120"/>
            </w:tcMar>
          </w:tcPr>
          <w:p>
            <w:pPr>
              <w:spacing w:after="40"/>
              <w:jc w:val="center"/>
            </w:pPr>
            <w:r>
              <w:rPr>
                <w:rFonts w:ascii="Calibri" w:cs="Calibri" w:eastAsia="Calibri" w:hAnsi="Calibri"/>
                <w:b/>
                <w:bCs/>
                <w:color w:val="1F3864"/>
                <w:sz w:val="30"/>
                <w:szCs w:val="30"/>
              </w:rPr>
              <w:t xml:space="preserve">₹890M</w:t>
            </w:r>
          </w:p>
          <w:p>
            <w:pPr>
              <w:jc w:val="center"/>
            </w:pPr>
            <w:r>
              <w:rPr>
                <w:rFonts w:ascii="Calibri" w:cs="Calibri" w:eastAsia="Calibri" w:hAnsi="Calibri"/>
                <w:color w:val="595959"/>
                <w:sz w:val="18"/>
                <w:szCs w:val="18"/>
              </w:rPr>
              <w:t xml:space="preserve">Total Actual Expense</w:t>
            </w:r>
          </w:p>
        </w:tc>
        <w:tc>
          <w:tcPr>
            <w:tcW w:type="dxa" w:w="2337"/>
            <w:shd w:fill="DCE6F5" w:val="clear"/>
            <w:tcMar>
              <w:top w:type="dxa" w:w="160"/>
              <w:left w:type="dxa" w:w="120"/>
              <w:bottom w:type="dxa" w:w="160"/>
              <w:right w:type="dxa" w:w="120"/>
            </w:tcMar>
          </w:tcPr>
          <w:p>
            <w:pPr>
              <w:spacing w:after="40"/>
              <w:jc w:val="center"/>
            </w:pPr>
            <w:r>
              <w:rPr>
                <w:rFonts w:ascii="Calibri" w:cs="Calibri" w:eastAsia="Calibri" w:hAnsi="Calibri"/>
                <w:b/>
                <w:bCs/>
                <w:color w:val="1F3864"/>
                <w:sz w:val="30"/>
                <w:szCs w:val="30"/>
              </w:rPr>
              <w:t xml:space="preserve">₹95M</w:t>
            </w:r>
          </w:p>
          <w:p>
            <w:pPr>
              <w:jc w:val="center"/>
            </w:pPr>
            <w:r>
              <w:rPr>
                <w:rFonts w:ascii="Calibri" w:cs="Calibri" w:eastAsia="Calibri" w:hAnsi="Calibri"/>
                <w:color w:val="595959"/>
                <w:sz w:val="18"/>
                <w:szCs w:val="18"/>
              </w:rPr>
              <w:t xml:space="preserve">Total Variance</w:t>
            </w:r>
          </w:p>
        </w:tc>
        <w:tc>
          <w:tcPr>
            <w:tcW w:type="dxa" w:w="2337"/>
            <w:shd w:fill="DCE6F5" w:val="clear"/>
            <w:tcMar>
              <w:top w:type="dxa" w:w="160"/>
              <w:left w:type="dxa" w:w="120"/>
              <w:bottom w:type="dxa" w:w="160"/>
              <w:right w:type="dxa" w:w="120"/>
            </w:tcMar>
          </w:tcPr>
          <w:p>
            <w:pPr>
              <w:spacing w:after="40"/>
              <w:jc w:val="center"/>
            </w:pPr>
            <w:r>
              <w:rPr>
                <w:rFonts w:ascii="Calibri" w:cs="Calibri" w:eastAsia="Calibri" w:hAnsi="Calibri"/>
                <w:b/>
                <w:bCs/>
                <w:color w:val="1F3864"/>
                <w:sz w:val="30"/>
                <w:szCs w:val="30"/>
              </w:rPr>
              <w:t xml:space="preserve">+11.9%</w:t>
            </w:r>
          </w:p>
          <w:p>
            <w:pPr>
              <w:jc w:val="center"/>
            </w:pPr>
            <w:r>
              <w:rPr>
                <w:rFonts w:ascii="Calibri" w:cs="Calibri" w:eastAsia="Calibri" w:hAnsi="Calibri"/>
                <w:color w:val="595959"/>
                <w:sz w:val="18"/>
                <w:szCs w:val="18"/>
              </w:rPr>
              <w:t xml:space="preserve">Variance %</w:t>
            </w:r>
          </w:p>
        </w:tc>
      </w:tr>
    </w:tbl>
    <w:p>
      <w:pPr>
        <w:spacing w:after="200" w:before="300"/>
      </w:pPr>
    </w:p>
    <w:p>
      <w:pPr>
        <w:jc w:val="center"/>
      </w:pPr>
      <w:r>
        <w:drawing>
          <wp:inline distT="0" distB="0" distL="0" distR="0">
            <wp:extent cx="5334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43225"/>
                    </a:xfrm>
                    <a:prstGeom prst="rect">
                      <a:avLst/>
                    </a:prstGeom>
                  </pic:spPr>
                </pic:pic>
              </a:graphicData>
            </a:graphic>
          </wp:inline>
        </w:drawing>
      </w:r>
    </w:p>
    <w:p>
      <w:pPr>
        <w:spacing w:after="240" w:before="100"/>
        <w:jc w:val="center"/>
      </w:pPr>
      <w:r>
        <w:rPr>
          <w:rFonts w:ascii="Calibri" w:cs="Calibri" w:eastAsia="Calibri" w:hAnsi="Calibri"/>
          <w:i/>
          <w:iCs/>
          <w:color w:val="595959"/>
          <w:sz w:val="19"/>
          <w:szCs w:val="19"/>
        </w:rPr>
        <w:t xml:space="preserve">Figure 1: Budget vs Actual Expense Analysis — Power BI Dashboard</w:t>
      </w:r>
    </w:p>
    <w:p>
      <w:pPr>
        <w:spacing w:after="160" w:line="276"/>
        <w:jc w:val="both"/>
      </w:pPr>
      <w:r>
        <w:rPr>
          <w:rFonts w:ascii="Calibri" w:cs="Calibri" w:eastAsia="Calibri" w:hAnsi="Calibri"/>
          <w:color w:val="262626"/>
          <w:sz w:val="22"/>
          <w:szCs w:val="22"/>
        </w:rPr>
        <w:t xml:space="preserve">The dashboard confirms that the overspend pattern is systemic rather than isolated: every bar in the department, category, and region visuals shows actual spend (dark blue) exceeding budget (light blue), and the payment-method donut shows an even split across the four channels, indicating the pattern is not driven by any single payment channel.</w:t>
      </w:r>
    </w:p>
    <w:p>
      <w:r>
        <w:br w:type="page"/>
      </w:r>
    </w:p>
    <w:p>
      <w:pPr>
        <w:pStyle w:val="Heading1"/>
        <w:pBdr>
          <w:bottom w:val="single" w:color="2E5AA8" w:sz="6" w:space="4"/>
        </w:pBdr>
        <w:spacing w:after="200" w:before="200"/>
      </w:pPr>
      <w:r>
        <w:rPr>
          <w:rFonts w:ascii="Calibri" w:cs="Calibri" w:eastAsia="Calibri" w:hAnsi="Calibri"/>
          <w:b/>
          <w:bCs/>
          <w:color w:val="1F3864"/>
          <w:sz w:val="32"/>
          <w:szCs w:val="32"/>
        </w:rPr>
        <w:t xml:space="preserve">7.  </w:t>
      </w:r>
      <w:r>
        <w:rPr>
          <w:rFonts w:ascii="Calibri" w:cs="Calibri" w:eastAsia="Calibri" w:hAnsi="Calibri"/>
          <w:b/>
          <w:bCs/>
          <w:color w:val="1F3864"/>
          <w:sz w:val="32"/>
          <w:szCs w:val="32"/>
        </w:rPr>
        <w:t xml:space="preserve">Results – Department &amp; Category Analysis</w:t>
      </w:r>
    </w:p>
    <w:p>
      <w:pPr>
        <w:pStyle w:val="Heading2"/>
        <w:spacing w:after="120" w:before="240"/>
      </w:pPr>
      <w:r>
        <w:rPr>
          <w:rFonts w:ascii="Calibri" w:cs="Calibri" w:eastAsia="Calibri" w:hAnsi="Calibri"/>
          <w:b/>
          <w:bCs/>
          <w:color w:val="2E5AA8"/>
          <w:sz w:val="24"/>
          <w:szCs w:val="24"/>
        </w:rPr>
        <w:t xml:space="preserve">Budget vs Actual by Department</w:t>
      </w:r>
    </w:p>
    <w:tbl>
      <w:tblPr>
        <w:tblW w:type="dxa" w:w="10550"/>
        <w:tblBorders>
          <w:top w:val="single" w:color="auto" w:sz="4"/>
          <w:left w:val="single" w:color="auto" w:sz="4"/>
          <w:bottom w:val="single" w:color="auto" w:sz="4"/>
          <w:right w:val="single" w:color="auto" w:sz="4"/>
          <w:insideH w:val="single" w:color="auto" w:sz="4"/>
          <w:insideV w:val="single" w:color="auto" w:sz="4"/>
        </w:tblBorders>
      </w:tblPr>
      <w:tblGrid>
        <w:gridCol w:w="1900"/>
        <w:gridCol w:w="2350"/>
        <w:gridCol w:w="2350"/>
        <w:gridCol w:w="2050"/>
        <w:gridCol w:w="1900"/>
      </w:tblGrid>
      <w:tr>
        <w:trPr>
          <w:tblHeader/>
        </w:trPr>
        <w:tc>
          <w:tcPr>
            <w:tcW w:type="dxa" w:w="1900"/>
            <w:shd w:fill="1F3864"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Department</w:t>
            </w:r>
          </w:p>
        </w:tc>
        <w:tc>
          <w:tcPr>
            <w:tcW w:type="dxa" w:w="23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Budget (₹)</w:t>
            </w:r>
          </w:p>
        </w:tc>
        <w:tc>
          <w:tcPr>
            <w:tcW w:type="dxa" w:w="23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Actual (₹)</w:t>
            </w:r>
          </w:p>
        </w:tc>
        <w:tc>
          <w:tcPr>
            <w:tcW w:type="dxa" w:w="20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Variance (₹)</w:t>
            </w:r>
          </w:p>
        </w:tc>
        <w:tc>
          <w:tcPr>
            <w:tcW w:type="dxa" w:w="190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Variance %</w:t>
            </w:r>
          </w:p>
        </w:tc>
      </w:tr>
      <w:tr>
        <w:tc>
          <w:tcPr>
            <w:tcW w:type="dxa" w:w="19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Marketing</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132,160,077</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152,136,504</w:t>
            </w:r>
          </w:p>
        </w:tc>
        <w:tc>
          <w:tcPr>
            <w:tcW w:type="dxa" w:w="20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19,976,427</w:t>
            </w:r>
          </w:p>
        </w:tc>
        <w:tc>
          <w:tcPr>
            <w:tcW w:type="dxa" w:w="19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15.1%</w:t>
            </w:r>
          </w:p>
        </w:tc>
      </w:tr>
      <w:tr>
        <w:tc>
          <w:tcPr>
            <w:tcW w:type="dxa" w:w="19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HR</w:t>
            </w:r>
          </w:p>
        </w:tc>
        <w:tc>
          <w:tcPr>
            <w:tcW w:type="dxa" w:w="23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137,431,733</w:t>
            </w:r>
          </w:p>
        </w:tc>
        <w:tc>
          <w:tcPr>
            <w:tcW w:type="dxa" w:w="23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155,552,618</w:t>
            </w:r>
          </w:p>
        </w:tc>
        <w:tc>
          <w:tcPr>
            <w:tcW w:type="dxa" w:w="20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18,120,885</w:t>
            </w:r>
          </w:p>
        </w:tc>
        <w:tc>
          <w:tcPr>
            <w:tcW w:type="dxa" w:w="19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13.2%</w:t>
            </w:r>
          </w:p>
        </w:tc>
      </w:tr>
      <w:tr>
        <w:tc>
          <w:tcPr>
            <w:tcW w:type="dxa" w:w="19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Sales</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134,827,509</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151,443,488</w:t>
            </w:r>
          </w:p>
        </w:tc>
        <w:tc>
          <w:tcPr>
            <w:tcW w:type="dxa" w:w="20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16,615,979</w:t>
            </w:r>
          </w:p>
        </w:tc>
        <w:tc>
          <w:tcPr>
            <w:tcW w:type="dxa" w:w="19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12.3%</w:t>
            </w:r>
          </w:p>
        </w:tc>
      </w:tr>
      <w:tr>
        <w:tc>
          <w:tcPr>
            <w:tcW w:type="dxa" w:w="19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Operations</w:t>
            </w:r>
          </w:p>
        </w:tc>
        <w:tc>
          <w:tcPr>
            <w:tcW w:type="dxa" w:w="23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132,642,724</w:t>
            </w:r>
          </w:p>
        </w:tc>
        <w:tc>
          <w:tcPr>
            <w:tcW w:type="dxa" w:w="23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147,869,274</w:t>
            </w:r>
          </w:p>
        </w:tc>
        <w:tc>
          <w:tcPr>
            <w:tcW w:type="dxa" w:w="20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15,226,550</w:t>
            </w:r>
          </w:p>
        </w:tc>
        <w:tc>
          <w:tcPr>
            <w:tcW w:type="dxa" w:w="19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11.5%</w:t>
            </w:r>
          </w:p>
        </w:tc>
      </w:tr>
      <w:tr>
        <w:tc>
          <w:tcPr>
            <w:tcW w:type="dxa" w:w="19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IT</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125,656,313</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139,383,236</w:t>
            </w:r>
          </w:p>
        </w:tc>
        <w:tc>
          <w:tcPr>
            <w:tcW w:type="dxa" w:w="20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13,726,923</w:t>
            </w:r>
          </w:p>
        </w:tc>
        <w:tc>
          <w:tcPr>
            <w:tcW w:type="dxa" w:w="19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10.9%</w:t>
            </w:r>
          </w:p>
        </w:tc>
      </w:tr>
      <w:tr>
        <w:tc>
          <w:tcPr>
            <w:tcW w:type="dxa" w:w="19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Finance</w:t>
            </w:r>
          </w:p>
        </w:tc>
        <w:tc>
          <w:tcPr>
            <w:tcW w:type="dxa" w:w="23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132,902,724</w:t>
            </w:r>
          </w:p>
        </w:tc>
        <w:tc>
          <w:tcPr>
            <w:tcW w:type="dxa" w:w="23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144,023,189</w:t>
            </w:r>
          </w:p>
        </w:tc>
        <w:tc>
          <w:tcPr>
            <w:tcW w:type="dxa" w:w="20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11,120,465</w:t>
            </w:r>
          </w:p>
        </w:tc>
        <w:tc>
          <w:tcPr>
            <w:tcW w:type="dxa" w:w="19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8.4%</w:t>
            </w:r>
          </w:p>
        </w:tc>
      </w:tr>
    </w:tbl>
    <w:p>
      <w:pPr>
        <w:spacing w:before="260"/>
      </w:pPr>
    </w:p>
    <w:p>
      <w:pPr>
        <w:spacing w:after="160" w:line="276"/>
        <w:jc w:val="both"/>
      </w:pPr>
      <w:r>
        <w:rPr>
          <w:rFonts w:ascii="Calibri" w:cs="Calibri" w:eastAsia="Calibri" w:hAnsi="Calibri"/>
          <w:color w:val="262626"/>
          <w:sz w:val="22"/>
          <w:szCs w:val="22"/>
        </w:rPr>
        <w:t xml:space="preserve">Sorted by variance, Marketing and HR carry the largest absolute overspend — each roughly ₹18–20M above budget — while Finance is the most disciplined department, with the smallest variance of the six. Ranking departments this way turns a routine bar chart into a prioritized action list for finance teams.</w:t>
      </w:r>
    </w:p>
    <w:p>
      <w:pPr>
        <w:pStyle w:val="Heading2"/>
        <w:spacing w:after="120" w:before="240"/>
      </w:pPr>
      <w:r>
        <w:rPr>
          <w:rFonts w:ascii="Calibri" w:cs="Calibri" w:eastAsia="Calibri" w:hAnsi="Calibri"/>
          <w:b/>
          <w:bCs/>
          <w:color w:val="2E5AA8"/>
          <w:sz w:val="24"/>
          <w:szCs w:val="24"/>
        </w:rPr>
        <w:t xml:space="preserve">Budget vs Actual by Category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600"/>
        <w:gridCol w:w="2250"/>
        <w:gridCol w:w="2250"/>
        <w:gridCol w:w="2450"/>
      </w:tblGrid>
      <w:tr>
        <w:trPr>
          <w:tblHeader/>
        </w:trPr>
        <w:tc>
          <w:tcPr>
            <w:tcW w:type="dxa" w:w="2600"/>
            <w:shd w:fill="1F3864"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Category</w:t>
            </w:r>
          </w:p>
        </w:tc>
        <w:tc>
          <w:tcPr>
            <w:tcW w:type="dxa" w:w="22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Budget (₹)</w:t>
            </w:r>
          </w:p>
        </w:tc>
        <w:tc>
          <w:tcPr>
            <w:tcW w:type="dxa" w:w="22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Actual (₹)</w:t>
            </w:r>
          </w:p>
        </w:tc>
        <w:tc>
          <w:tcPr>
            <w:tcW w:type="dxa" w:w="24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Variance (₹)</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Salaries</w:t>
            </w:r>
          </w:p>
        </w:tc>
        <w:tc>
          <w:tcPr>
            <w:tcW w:type="dxa" w:w="22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127,069,907</w:t>
            </w:r>
          </w:p>
        </w:tc>
        <w:tc>
          <w:tcPr>
            <w:tcW w:type="dxa" w:w="22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147,564,363</w:t>
            </w:r>
          </w:p>
        </w:tc>
        <w:tc>
          <w:tcPr>
            <w:tcW w:type="dxa" w:w="2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20,494,456</w:t>
            </w:r>
          </w:p>
        </w:tc>
      </w:tr>
      <w:tr>
        <w:tc>
          <w:tcPr>
            <w:tcW w:type="dxa" w:w="2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Utilities</w:t>
            </w:r>
          </w:p>
        </w:tc>
        <w:tc>
          <w:tcPr>
            <w:tcW w:type="dxa" w:w="22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137,955,359</w:t>
            </w:r>
          </w:p>
        </w:tc>
        <w:tc>
          <w:tcPr>
            <w:tcW w:type="dxa" w:w="22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155,336,393</w:t>
            </w:r>
          </w:p>
        </w:tc>
        <w:tc>
          <w:tcPr>
            <w:tcW w:type="dxa" w:w="24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17,381,034</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Marketing</w:t>
            </w:r>
          </w:p>
        </w:tc>
        <w:tc>
          <w:tcPr>
            <w:tcW w:type="dxa" w:w="22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130,220,336</w:t>
            </w:r>
          </w:p>
        </w:tc>
        <w:tc>
          <w:tcPr>
            <w:tcW w:type="dxa" w:w="22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146,566,862</w:t>
            </w:r>
          </w:p>
        </w:tc>
        <w:tc>
          <w:tcPr>
            <w:tcW w:type="dxa" w:w="2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16,346,526</w:t>
            </w:r>
          </w:p>
        </w:tc>
      </w:tr>
      <w:tr>
        <w:tc>
          <w:tcPr>
            <w:tcW w:type="dxa" w:w="2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Travel</w:t>
            </w:r>
          </w:p>
        </w:tc>
        <w:tc>
          <w:tcPr>
            <w:tcW w:type="dxa" w:w="22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140,096,770</w:t>
            </w:r>
          </w:p>
        </w:tc>
        <w:tc>
          <w:tcPr>
            <w:tcW w:type="dxa" w:w="22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155,119,656</w:t>
            </w:r>
          </w:p>
        </w:tc>
        <w:tc>
          <w:tcPr>
            <w:tcW w:type="dxa" w:w="24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15,022,886</w:t>
            </w:r>
          </w:p>
        </w:tc>
      </w:tr>
      <w:tr>
        <w:tc>
          <w:tcPr>
            <w:tcW w:type="dxa" w:w="26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Infrastructure</w:t>
            </w:r>
          </w:p>
        </w:tc>
        <w:tc>
          <w:tcPr>
            <w:tcW w:type="dxa" w:w="22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127,892,175</w:t>
            </w:r>
          </w:p>
        </w:tc>
        <w:tc>
          <w:tcPr>
            <w:tcW w:type="dxa" w:w="22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140,903,653</w:t>
            </w:r>
          </w:p>
        </w:tc>
        <w:tc>
          <w:tcPr>
            <w:tcW w:type="dxa" w:w="24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13,011,478</w:t>
            </w:r>
          </w:p>
        </w:tc>
      </w:tr>
      <w:tr>
        <w:tc>
          <w:tcPr>
            <w:tcW w:type="dxa" w:w="26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Training</w:t>
            </w:r>
          </w:p>
        </w:tc>
        <w:tc>
          <w:tcPr>
            <w:tcW w:type="dxa" w:w="22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132,386,533</w:t>
            </w:r>
          </w:p>
        </w:tc>
        <w:tc>
          <w:tcPr>
            <w:tcW w:type="dxa" w:w="22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144,917,382</w:t>
            </w:r>
          </w:p>
        </w:tc>
        <w:tc>
          <w:tcPr>
            <w:tcW w:type="dxa" w:w="24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12,530,849</w:t>
            </w:r>
          </w:p>
        </w:tc>
      </w:tr>
    </w:tbl>
    <w:p>
      <w:pPr>
        <w:spacing w:before="260"/>
      </w:pPr>
    </w:p>
    <w:p>
      <w:pPr>
        <w:spacing w:after="160" w:line="276"/>
        <w:jc w:val="both"/>
      </w:pPr>
      <w:r>
        <w:rPr>
          <w:rFonts w:ascii="Calibri" w:cs="Calibri" w:eastAsia="Calibri" w:hAnsi="Calibri"/>
          <w:color w:val="262626"/>
          <w:sz w:val="22"/>
          <w:szCs w:val="22"/>
        </w:rPr>
        <w:t xml:space="preserve">Salaries shows the largest absolute variance of any category, followed closely by Utilities and Marketing spend. Travel and Utilities also stand out as categories that run consistently hot relative to their planned budgets.</w:t>
      </w:r>
    </w:p>
    <w:p>
      <w:r>
        <w:br w:type="page"/>
      </w:r>
    </w:p>
    <w:p>
      <w:pPr>
        <w:pStyle w:val="Heading1"/>
        <w:pBdr>
          <w:bottom w:val="single" w:color="2E5AA8" w:sz="6" w:space="4"/>
        </w:pBdr>
        <w:spacing w:after="200" w:before="200"/>
      </w:pPr>
      <w:r>
        <w:rPr>
          <w:rFonts w:ascii="Calibri" w:cs="Calibri" w:eastAsia="Calibri" w:hAnsi="Calibri"/>
          <w:b/>
          <w:bCs/>
          <w:color w:val="1F3864"/>
          <w:sz w:val="32"/>
          <w:szCs w:val="32"/>
        </w:rPr>
        <w:t xml:space="preserve">8.  </w:t>
      </w:r>
      <w:r>
        <w:rPr>
          <w:rFonts w:ascii="Calibri" w:cs="Calibri" w:eastAsia="Calibri" w:hAnsi="Calibri"/>
          <w:b/>
          <w:bCs/>
          <w:color w:val="1F3864"/>
          <w:sz w:val="32"/>
          <w:szCs w:val="32"/>
        </w:rPr>
        <w:t xml:space="preserve">Results – Regional &amp; Payment Channel Analysis</w:t>
      </w:r>
    </w:p>
    <w:p>
      <w:pPr>
        <w:pStyle w:val="Heading2"/>
        <w:spacing w:after="120" w:before="240"/>
      </w:pPr>
      <w:r>
        <w:rPr>
          <w:rFonts w:ascii="Calibri" w:cs="Calibri" w:eastAsia="Calibri" w:hAnsi="Calibri"/>
          <w:b/>
          <w:bCs/>
          <w:color w:val="2E5AA8"/>
          <w:sz w:val="24"/>
          <w:szCs w:val="24"/>
        </w:rPr>
        <w:t xml:space="preserve">Budget vs Actual by Region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200"/>
        <w:gridCol w:w="2350"/>
        <w:gridCol w:w="2350"/>
        <w:gridCol w:w="2650"/>
      </w:tblGrid>
      <w:tr>
        <w:trPr>
          <w:tblHeader/>
        </w:trPr>
        <w:tc>
          <w:tcPr>
            <w:tcW w:type="dxa" w:w="2200"/>
            <w:shd w:fill="1F3864"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Region</w:t>
            </w:r>
          </w:p>
        </w:tc>
        <w:tc>
          <w:tcPr>
            <w:tcW w:type="dxa" w:w="23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Budget (₹)</w:t>
            </w:r>
          </w:p>
        </w:tc>
        <w:tc>
          <w:tcPr>
            <w:tcW w:type="dxa" w:w="23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Actual (₹)</w:t>
            </w:r>
          </w:p>
        </w:tc>
        <w:tc>
          <w:tcPr>
            <w:tcW w:type="dxa" w:w="26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Variance (₹)</w:t>
            </w:r>
          </w:p>
        </w:tc>
      </w:tr>
      <w:tr>
        <w:tc>
          <w:tcPr>
            <w:tcW w:type="dxa" w:w="2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East</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159,693,097</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180,953,620</w:t>
            </w:r>
          </w:p>
        </w:tc>
        <w:tc>
          <w:tcPr>
            <w:tcW w:type="dxa" w:w="26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21,260,523</w:t>
            </w:r>
          </w:p>
        </w:tc>
      </w:tr>
      <w:tr>
        <w:tc>
          <w:tcPr>
            <w:tcW w:type="dxa" w:w="22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Central</w:t>
            </w:r>
          </w:p>
        </w:tc>
        <w:tc>
          <w:tcPr>
            <w:tcW w:type="dxa" w:w="23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162,879,057</w:t>
            </w:r>
          </w:p>
        </w:tc>
        <w:tc>
          <w:tcPr>
            <w:tcW w:type="dxa" w:w="23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182,386,711</w:t>
            </w:r>
          </w:p>
        </w:tc>
        <w:tc>
          <w:tcPr>
            <w:tcW w:type="dxa" w:w="26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19,507,654</w:t>
            </w:r>
          </w:p>
        </w:tc>
      </w:tr>
      <w:tr>
        <w:tc>
          <w:tcPr>
            <w:tcW w:type="dxa" w:w="2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South</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158,086,473</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177,024,460</w:t>
            </w:r>
          </w:p>
        </w:tc>
        <w:tc>
          <w:tcPr>
            <w:tcW w:type="dxa" w:w="26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18,937,987</w:t>
            </w:r>
          </w:p>
        </w:tc>
      </w:tr>
      <w:tr>
        <w:tc>
          <w:tcPr>
            <w:tcW w:type="dxa" w:w="22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West</w:t>
            </w:r>
          </w:p>
        </w:tc>
        <w:tc>
          <w:tcPr>
            <w:tcW w:type="dxa" w:w="23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157,004,504</w:t>
            </w:r>
          </w:p>
        </w:tc>
        <w:tc>
          <w:tcPr>
            <w:tcW w:type="dxa" w:w="23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175,505,843</w:t>
            </w:r>
          </w:p>
        </w:tc>
        <w:tc>
          <w:tcPr>
            <w:tcW w:type="dxa" w:w="26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18,501,339</w:t>
            </w:r>
          </w:p>
        </w:tc>
      </w:tr>
      <w:tr>
        <w:tc>
          <w:tcPr>
            <w:tcW w:type="dxa" w:w="2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North</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157,957,949</w:t>
            </w:r>
          </w:p>
        </w:tc>
        <w:tc>
          <w:tcPr>
            <w:tcW w:type="dxa" w:w="23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174,537,675</w:t>
            </w:r>
          </w:p>
        </w:tc>
        <w:tc>
          <w:tcPr>
            <w:tcW w:type="dxa" w:w="26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16,579,726</w:t>
            </w:r>
          </w:p>
        </w:tc>
      </w:tr>
    </w:tbl>
    <w:p>
      <w:pPr>
        <w:spacing w:before="260"/>
      </w:pPr>
    </w:p>
    <w:p>
      <w:pPr>
        <w:spacing w:after="160" w:line="276"/>
        <w:jc w:val="both"/>
      </w:pPr>
      <w:r>
        <w:rPr>
          <w:rFonts w:ascii="Calibri" w:cs="Calibri" w:eastAsia="Calibri" w:hAnsi="Calibri"/>
          <w:color w:val="262626"/>
          <w:sz w:val="22"/>
          <w:szCs w:val="22"/>
        </w:rPr>
        <w:t xml:space="preserve">Overspend is broadly consistent across all five regions, with East showing the highest absolute variance and North the lowest. The narrow spread between regions (roughly ₹16.6M to ₹21.3M) suggests the overspend pattern is an organization-wide phenomenon rather than a regional anomaly.</w:t>
      </w:r>
    </w:p>
    <w:p>
      <w:pPr>
        <w:pStyle w:val="Heading2"/>
        <w:spacing w:after="120" w:before="240"/>
      </w:pPr>
      <w:r>
        <w:rPr>
          <w:rFonts w:ascii="Calibri" w:cs="Calibri" w:eastAsia="Calibri" w:hAnsi="Calibri"/>
          <w:b/>
          <w:bCs/>
          <w:color w:val="2E5AA8"/>
          <w:sz w:val="24"/>
          <w:szCs w:val="24"/>
        </w:rPr>
        <w:t xml:space="preserve">Actual Expense by Payment Method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300"/>
        <w:gridCol w:w="2950"/>
      </w:tblGrid>
      <w:tr>
        <w:trPr>
          <w:tblHeader/>
        </w:trPr>
        <w:tc>
          <w:tcPr>
            <w:tcW w:type="dxa" w:w="3100"/>
            <w:shd w:fill="1F3864"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Payment Method</w:t>
            </w:r>
          </w:p>
        </w:tc>
        <w:tc>
          <w:tcPr>
            <w:tcW w:type="dxa" w:w="330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Actual Amount (₹)</w:t>
            </w:r>
          </w:p>
        </w:tc>
        <w:tc>
          <w:tcPr>
            <w:tcW w:type="dxa" w:w="29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Share of Total</w:t>
            </w:r>
          </w:p>
        </w:tc>
      </w:tr>
      <w:tr>
        <w:tc>
          <w:tcPr>
            <w:tcW w:type="dxa" w:w="31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UPI</w:t>
            </w:r>
          </w:p>
        </w:tc>
        <w:tc>
          <w:tcPr>
            <w:tcW w:type="dxa" w:w="33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228,604,161</w:t>
            </w:r>
          </w:p>
        </w:tc>
        <w:tc>
          <w:tcPr>
            <w:tcW w:type="dxa" w:w="29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25.7%</w:t>
            </w:r>
          </w:p>
        </w:tc>
      </w:tr>
      <w:tr>
        <w:tc>
          <w:tcPr>
            <w:tcW w:type="dxa" w:w="31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Card</w:t>
            </w:r>
          </w:p>
        </w:tc>
        <w:tc>
          <w:tcPr>
            <w:tcW w:type="dxa" w:w="33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222,575,503</w:t>
            </w:r>
          </w:p>
        </w:tc>
        <w:tc>
          <w:tcPr>
            <w:tcW w:type="dxa" w:w="29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25.0%</w:t>
            </w:r>
          </w:p>
        </w:tc>
      </w:tr>
      <w:tr>
        <w:tc>
          <w:tcPr>
            <w:tcW w:type="dxa" w:w="31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Bank Transfer</w:t>
            </w:r>
          </w:p>
        </w:tc>
        <w:tc>
          <w:tcPr>
            <w:tcW w:type="dxa" w:w="330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221,334,885</w:t>
            </w:r>
          </w:p>
        </w:tc>
        <w:tc>
          <w:tcPr>
            <w:tcW w:type="dxa" w:w="29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24.9%</w:t>
            </w:r>
          </w:p>
        </w:tc>
      </w:tr>
      <w:tr>
        <w:tc>
          <w:tcPr>
            <w:tcW w:type="dxa" w:w="31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Cash</w:t>
            </w:r>
          </w:p>
        </w:tc>
        <w:tc>
          <w:tcPr>
            <w:tcW w:type="dxa" w:w="330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217,893,760</w:t>
            </w:r>
          </w:p>
        </w:tc>
        <w:tc>
          <w:tcPr>
            <w:tcW w:type="dxa" w:w="29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24.5%</w:t>
            </w:r>
          </w:p>
        </w:tc>
      </w:tr>
    </w:tbl>
    <w:p>
      <w:pPr>
        <w:spacing w:before="260"/>
      </w:pPr>
    </w:p>
    <w:p>
      <w:pPr>
        <w:spacing w:after="160" w:line="276"/>
        <w:jc w:val="both"/>
      </w:pPr>
      <w:r>
        <w:rPr>
          <w:rFonts w:ascii="Calibri" w:cs="Calibri" w:eastAsia="Calibri" w:hAnsi="Calibri"/>
          <w:color w:val="262626"/>
          <w:sz w:val="22"/>
          <w:szCs w:val="22"/>
        </w:rPr>
        <w:t xml:space="preserve">Each of the four payment channels accounts for a share within roughly one percentage point of an even 25%, indicating a balanced payment mix with no channel-specific concentration of risk.</w:t>
      </w:r>
    </w:p>
    <w:p>
      <w:r>
        <w:br w:type="page"/>
      </w:r>
    </w:p>
    <w:p>
      <w:pPr>
        <w:pStyle w:val="Heading1"/>
        <w:pBdr>
          <w:bottom w:val="single" w:color="2E5AA8" w:sz="6" w:space="4"/>
        </w:pBdr>
        <w:spacing w:after="200" w:before="200"/>
      </w:pPr>
      <w:r>
        <w:rPr>
          <w:rFonts w:ascii="Calibri" w:cs="Calibri" w:eastAsia="Calibri" w:hAnsi="Calibri"/>
          <w:b/>
          <w:bCs/>
          <w:color w:val="1F3864"/>
          <w:sz w:val="32"/>
          <w:szCs w:val="32"/>
        </w:rPr>
        <w:t xml:space="preserve">9.  </w:t>
      </w:r>
      <w:r>
        <w:rPr>
          <w:rFonts w:ascii="Calibri" w:cs="Calibri" w:eastAsia="Calibri" w:hAnsi="Calibri"/>
          <w:b/>
          <w:bCs/>
          <w:color w:val="1F3864"/>
          <w:sz w:val="32"/>
          <w:szCs w:val="32"/>
        </w:rPr>
        <w:t xml:space="preserve">Key Insights &amp; Recommendations</w:t>
      </w:r>
    </w:p>
    <w:p>
      <w:pPr>
        <w:pStyle w:val="Heading2"/>
        <w:spacing w:after="120" w:before="240"/>
      </w:pPr>
      <w:r>
        <w:rPr>
          <w:rFonts w:ascii="Calibri" w:cs="Calibri" w:eastAsia="Calibri" w:hAnsi="Calibri"/>
          <w:b/>
          <w:bCs/>
          <w:color w:val="2E5AA8"/>
          <w:sz w:val="24"/>
          <w:szCs w:val="24"/>
        </w:rPr>
        <w:t xml:space="preserve">Key Insights</w:t>
      </w:r>
    </w:p>
    <w:p>
      <w:pPr>
        <w:pStyle w:val="ListParagraph"/>
        <w:numPr>
          <w:ilvl w:val="0"/>
          <w:numId w:val="2"/>
        </w:numPr>
        <w:spacing w:after="90"/>
      </w:pPr>
      <w:r>
        <w:rPr>
          <w:rFonts w:ascii="Calibri" w:cs="Calibri" w:eastAsia="Calibri" w:hAnsi="Calibri"/>
          <w:color w:val="262626"/>
          <w:sz w:val="22"/>
          <w:szCs w:val="22"/>
        </w:rPr>
        <w:t xml:space="preserve">Overspend is broad-based — every department, region, category, and payment method spent above budget, indicating a systemic pattern rather than a single outlier.</w:t>
      </w:r>
    </w:p>
    <w:p>
      <w:pPr>
        <w:pStyle w:val="ListParagraph"/>
        <w:numPr>
          <w:ilvl w:val="0"/>
          <w:numId w:val="2"/>
        </w:numPr>
        <w:spacing w:after="90"/>
      </w:pPr>
      <w:r>
        <w:rPr>
          <w:rFonts w:ascii="Calibri" w:cs="Calibri" w:eastAsia="Calibri" w:hAnsi="Calibri"/>
          <w:color w:val="262626"/>
          <w:sz w:val="22"/>
          <w:szCs w:val="22"/>
        </w:rPr>
        <w:t xml:space="preserve">Marketing and HR lead the gap — together they account for roughly ₹38M of the ₹95M total variance and should be reviewed first.</w:t>
      </w:r>
    </w:p>
    <w:p>
      <w:pPr>
        <w:pStyle w:val="ListParagraph"/>
        <w:numPr>
          <w:ilvl w:val="0"/>
          <w:numId w:val="2"/>
        </w:numPr>
        <w:spacing w:after="90"/>
      </w:pPr>
      <w:r>
        <w:rPr>
          <w:rFonts w:ascii="Calibri" w:cs="Calibri" w:eastAsia="Calibri" w:hAnsi="Calibri"/>
          <w:color w:val="262626"/>
          <w:sz w:val="22"/>
          <w:szCs w:val="22"/>
        </w:rPr>
        <w:t xml:space="preserve">Payment mix is balanced — UPI, Card, Bank Transfer, and Cash are each within about one percentage point of a 25% share, so there is no channel-specific risk.</w:t>
      </w:r>
    </w:p>
    <w:p>
      <w:pPr>
        <w:pStyle w:val="ListParagraph"/>
        <w:numPr>
          <w:ilvl w:val="0"/>
          <w:numId w:val="2"/>
        </w:numPr>
        <w:spacing w:after="90"/>
      </w:pPr>
      <w:r>
        <w:rPr>
          <w:rFonts w:ascii="Calibri" w:cs="Calibri" w:eastAsia="Calibri" w:hAnsi="Calibri"/>
          <w:color w:val="262626"/>
          <w:sz w:val="22"/>
          <w:szCs w:val="22"/>
        </w:rPr>
        <w:t xml:space="preserve">Travel and Utilities run hottest — among the six expense categories, these show the largest budget-to-actual gaps.</w:t>
      </w:r>
    </w:p>
    <w:p>
      <w:pPr>
        <w:pStyle w:val="ListParagraph"/>
        <w:numPr>
          <w:ilvl w:val="0"/>
          <w:numId w:val="2"/>
        </w:numPr>
        <w:spacing w:after="90"/>
      </w:pPr>
      <w:r>
        <w:rPr>
          <w:rFonts w:ascii="Calibri" w:cs="Calibri" w:eastAsia="Calibri" w:hAnsi="Calibri"/>
          <w:color w:val="262626"/>
          <w:sz w:val="22"/>
          <w:szCs w:val="22"/>
        </w:rPr>
        <w:t xml:space="preserve">Finance is the benchmark department — its variance of 8.4% is the lowest of the six, and its processes may offer a model for other departments.</w:t>
      </w:r>
    </w:p>
    <w:p>
      <w:pPr>
        <w:pStyle w:val="Heading2"/>
        <w:spacing w:after="120" w:before="240"/>
      </w:pPr>
      <w:r>
        <w:rPr>
          <w:rFonts w:ascii="Calibri" w:cs="Calibri" w:eastAsia="Calibri" w:hAnsi="Calibri"/>
          <w:b/>
          <w:bCs/>
          <w:color w:val="2E5AA8"/>
          <w:sz w:val="24"/>
          <w:szCs w:val="24"/>
        </w:rPr>
        <w:t xml:space="preserve">Recommended Next Steps</w:t>
      </w:r>
    </w:p>
    <w:p>
      <w:pPr>
        <w:pStyle w:val="ListParagraph"/>
        <w:numPr>
          <w:ilvl w:val="0"/>
          <w:numId w:val="2"/>
        </w:numPr>
        <w:spacing w:after="90"/>
      </w:pPr>
      <w:r>
        <w:rPr>
          <w:rFonts w:ascii="Calibri" w:cs="Calibri" w:eastAsia="Calibri" w:hAnsi="Calibri"/>
          <w:color w:val="262626"/>
          <w:sz w:val="22"/>
          <w:szCs w:val="22"/>
        </w:rPr>
        <w:t xml:space="preserve">Tighten budget-setting for Marketing and HR using 2021–2023 actuals as a baseline, rather than relying on last year's budget figure alone.</w:t>
      </w:r>
    </w:p>
    <w:p>
      <w:pPr>
        <w:pStyle w:val="ListParagraph"/>
        <w:numPr>
          <w:ilvl w:val="0"/>
          <w:numId w:val="2"/>
        </w:numPr>
        <w:spacing w:after="90"/>
      </w:pPr>
      <w:r>
        <w:rPr>
          <w:rFonts w:ascii="Calibri" w:cs="Calibri" w:eastAsia="Calibri" w:hAnsi="Calibri"/>
          <w:color w:val="262626"/>
          <w:sz w:val="22"/>
          <w:szCs w:val="22"/>
        </w:rPr>
        <w:t xml:space="preserve">Add monthly variance alerts in Power BI so overspend is caught mid-quarter rather than at year-end.</w:t>
      </w:r>
    </w:p>
    <w:p>
      <w:pPr>
        <w:pStyle w:val="ListParagraph"/>
        <w:numPr>
          <w:ilvl w:val="0"/>
          <w:numId w:val="2"/>
        </w:numPr>
        <w:spacing w:after="90"/>
      </w:pPr>
      <w:r>
        <w:rPr>
          <w:rFonts w:ascii="Calibri" w:cs="Calibri" w:eastAsia="Calibri" w:hAnsi="Calibri"/>
          <w:color w:val="262626"/>
          <w:sz w:val="22"/>
          <w:szCs w:val="22"/>
        </w:rPr>
        <w:t xml:space="preserve">Investigate Travel and Utilities contracts and vendors for renegotiation opportunities.</w:t>
      </w:r>
    </w:p>
    <w:p>
      <w:pPr>
        <w:pStyle w:val="ListParagraph"/>
        <w:numPr>
          <w:ilvl w:val="0"/>
          <w:numId w:val="2"/>
        </w:numPr>
        <w:spacing w:after="90"/>
      </w:pPr>
      <w:r>
        <w:rPr>
          <w:rFonts w:ascii="Calibri" w:cs="Calibri" w:eastAsia="Calibri" w:hAnsi="Calibri"/>
          <w:color w:val="262626"/>
          <w:sz w:val="22"/>
          <w:szCs w:val="22"/>
        </w:rPr>
        <w:t xml:space="preserve">Extend the model with external drivers (e.g. inflation, headcount, seasonality) to explain regional and category-level variance more precisely.</w:t>
      </w:r>
    </w:p>
    <w:p>
      <w:pPr>
        <w:pStyle w:val="ListParagraph"/>
        <w:numPr>
          <w:ilvl w:val="0"/>
          <w:numId w:val="2"/>
        </w:numPr>
        <w:spacing w:after="90"/>
      </w:pPr>
      <w:r>
        <w:rPr>
          <w:rFonts w:ascii="Calibri" w:cs="Calibri" w:eastAsia="Calibri" w:hAnsi="Calibri"/>
          <w:color w:val="262626"/>
          <w:sz w:val="22"/>
          <w:szCs w:val="22"/>
        </w:rPr>
        <w:t xml:space="preserve">Share the Finance department's budgeting approach as an internal best-practice reference for other departments.</w:t>
      </w:r>
    </w:p>
    <w:p>
      <w:r>
        <w:br w:type="page"/>
      </w:r>
    </w:p>
    <w:p>
      <w:pPr>
        <w:pStyle w:val="Heading1"/>
        <w:pBdr>
          <w:bottom w:val="single" w:color="2E5AA8" w:sz="6" w:space="4"/>
        </w:pBdr>
        <w:spacing w:after="200" w:before="200"/>
      </w:pPr>
      <w:r>
        <w:rPr>
          <w:rFonts w:ascii="Calibri" w:cs="Calibri" w:eastAsia="Calibri" w:hAnsi="Calibri"/>
          <w:b/>
          <w:bCs/>
          <w:color w:val="1F3864"/>
          <w:sz w:val="32"/>
          <w:szCs w:val="32"/>
        </w:rPr>
        <w:t xml:space="preserve">10.  </w:t>
      </w:r>
      <w:r>
        <w:rPr>
          <w:rFonts w:ascii="Calibri" w:cs="Calibri" w:eastAsia="Calibri" w:hAnsi="Calibri"/>
          <w:b/>
          <w:bCs/>
          <w:color w:val="1F3864"/>
          <w:sz w:val="32"/>
          <w:szCs w:val="32"/>
        </w:rPr>
        <w:t xml:space="preserve">Conclusion, Tools Used &amp; References</w:t>
      </w:r>
    </w:p>
    <w:p>
      <w:pPr>
        <w:pStyle w:val="Heading2"/>
        <w:spacing w:after="120" w:before="240"/>
      </w:pPr>
      <w:r>
        <w:rPr>
          <w:rFonts w:ascii="Calibri" w:cs="Calibri" w:eastAsia="Calibri" w:hAnsi="Calibri"/>
          <w:b/>
          <w:bCs/>
          <w:color w:val="2E5AA8"/>
          <w:sz w:val="24"/>
          <w:szCs w:val="24"/>
        </w:rPr>
        <w:t xml:space="preserve">Conclusion</w:t>
      </w:r>
    </w:p>
    <w:p>
      <w:pPr>
        <w:spacing w:after="160" w:line="276"/>
        <w:jc w:val="both"/>
      </w:pPr>
      <w:r>
        <w:rPr>
          <w:rFonts w:ascii="Calibri" w:cs="Calibri" w:eastAsia="Calibri" w:hAnsi="Calibri"/>
          <w:color w:val="262626"/>
          <w:sz w:val="22"/>
          <w:szCs w:val="22"/>
        </w:rPr>
        <w:t xml:space="preserve">This project demonstrates a complete, reproducible analytics workflow — from a raw Kaggle dataset, through Python-based cleaning in Google Colab, to a modeled and visualized Power BI dashboard. The resulting analysis shows that actual departmental expenditure exceeded budget by ₹95M (11.9%) over the 2021–2023 period, with the gap distributed broadly across departments, regions, categories, and payment methods rather than concentrated in one area. Marketing and HR emerge as the two departments requiring the closest budget review, while Finance offers a useful internal benchmark for disciplined spending. The interactive dashboard — with its Region and Department slicers — gives stakeholders a self-serve way to explore these patterns down to the transaction level, turning a static budget report into a living decision-support tool.</w:t>
      </w:r>
    </w:p>
    <w:p>
      <w:pPr>
        <w:pStyle w:val="Heading2"/>
        <w:spacing w:after="120" w:before="240"/>
      </w:pPr>
      <w:r>
        <w:rPr>
          <w:rFonts w:ascii="Calibri" w:cs="Calibri" w:eastAsia="Calibri" w:hAnsi="Calibri"/>
          <w:b/>
          <w:bCs/>
          <w:color w:val="2E5AA8"/>
          <w:sz w:val="24"/>
          <w:szCs w:val="24"/>
        </w:rPr>
        <w:t xml:space="preserve">Tools &amp; Technologies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10"/>
              <w:bottom w:type="dxa" w:w="80"/>
              <w:right w:type="dxa" w:w="110"/>
            </w:tcMar>
            <w:vAlign w:val="center"/>
          </w:tcPr>
          <w:p>
            <w:pPr>
              <w:jc w:val="left"/>
            </w:pPr>
            <w:r>
              <w:rPr>
                <w:rFonts w:ascii="Calibri" w:cs="Calibri" w:eastAsia="Calibri" w:hAnsi="Calibri"/>
                <w:b/>
                <w:bCs/>
                <w:color w:val="FFFFFF"/>
                <w:sz w:val="20"/>
                <w:szCs w:val="20"/>
              </w:rPr>
              <w:t xml:space="preserve">Stage</w:t>
            </w:r>
          </w:p>
        </w:tc>
        <w:tc>
          <w:tcPr>
            <w:tcW w:type="dxa" w:w="6150"/>
            <w:shd w:fill="1F3864" w:val="clear"/>
            <w:tcMar>
              <w:top w:type="dxa" w:w="80"/>
              <w:left w:type="dxa" w:w="110"/>
              <w:bottom w:type="dxa" w:w="80"/>
              <w:right w:type="dxa" w:w="110"/>
            </w:tcMar>
            <w:vAlign w:val="center"/>
          </w:tcPr>
          <w:p>
            <w:pPr>
              <w:jc w:val="center"/>
            </w:pPr>
            <w:r>
              <w:rPr>
                <w:rFonts w:ascii="Calibri" w:cs="Calibri" w:eastAsia="Calibri" w:hAnsi="Calibri"/>
                <w:b/>
                <w:bCs/>
                <w:color w:val="FFFFFF"/>
                <w:sz w:val="20"/>
                <w:szCs w:val="20"/>
              </w:rPr>
              <w:t xml:space="preserve">Tool / Technology</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Data sourcing</w:t>
            </w:r>
          </w:p>
        </w:tc>
        <w:tc>
          <w:tcPr>
            <w:tcW w:type="dxa" w:w="61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Kaggle</w:t>
            </w:r>
          </w:p>
        </w:tc>
      </w:tr>
      <w:tr>
        <w:tc>
          <w:tcPr>
            <w:tcW w:type="dxa" w:w="32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Data cleaning</w:t>
            </w:r>
          </w:p>
        </w:tc>
        <w:tc>
          <w:tcPr>
            <w:tcW w:type="dxa" w:w="61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Python (pandas, NumPy) in Google Colab</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Data modeling</w:t>
            </w:r>
          </w:p>
        </w:tc>
        <w:tc>
          <w:tcPr>
            <w:tcW w:type="dxa" w:w="61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Power Query, DAX (Power BI Desktop)</w:t>
            </w:r>
          </w:p>
        </w:tc>
      </w:tr>
      <w:tr>
        <w:tc>
          <w:tcPr>
            <w:tcW w:type="dxa" w:w="3200"/>
            <w:shd w:fill="F2F2F2"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Visualization</w:t>
            </w:r>
          </w:p>
        </w:tc>
        <w:tc>
          <w:tcPr>
            <w:tcW w:type="dxa" w:w="6150"/>
            <w:shd w:fill="F2F2F2"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Power BI Desktop</w:t>
            </w:r>
          </w:p>
        </w:tc>
      </w:tr>
      <w:tr>
        <w:tc>
          <w:tcPr>
            <w:tcW w:type="dxa" w:w="3200"/>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262626"/>
                <w:sz w:val="20"/>
                <w:szCs w:val="20"/>
              </w:rPr>
              <w:t xml:space="preserve">Documentation</w:t>
            </w:r>
          </w:p>
        </w:tc>
        <w:tc>
          <w:tcPr>
            <w:tcW w:type="dxa" w:w="6150"/>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262626"/>
                <w:sz w:val="20"/>
                <w:szCs w:val="20"/>
              </w:rPr>
              <w:t xml:space="preserve">Cleaning.ipynb notebook, PowerPoint presentation</w:t>
            </w:r>
          </w:p>
        </w:tc>
      </w:tr>
    </w:tbl>
    <w:p>
      <w:pPr>
        <w:spacing w:before="260"/>
      </w:pPr>
    </w:p>
    <w:p>
      <w:pPr>
        <w:pStyle w:val="Heading2"/>
        <w:spacing w:after="120" w:before="240"/>
      </w:pPr>
      <w:r>
        <w:rPr>
          <w:rFonts w:ascii="Calibri" w:cs="Calibri" w:eastAsia="Calibri" w:hAnsi="Calibri"/>
          <w:b/>
          <w:bCs/>
          <w:color w:val="2E5AA8"/>
          <w:sz w:val="24"/>
          <w:szCs w:val="24"/>
        </w:rPr>
        <w:t xml:space="preserve">Project Artifacts</w:t>
      </w:r>
    </w:p>
    <w:p>
      <w:pPr>
        <w:pStyle w:val="ListParagraph"/>
        <w:numPr>
          <w:ilvl w:val="0"/>
          <w:numId w:val="2"/>
        </w:numPr>
        <w:spacing w:after="90"/>
      </w:pPr>
      <w:r>
        <w:rPr>
          <w:rFonts w:ascii="Calibri" w:cs="Calibri" w:eastAsia="Calibri" w:hAnsi="Calibri"/>
          <w:color w:val="262626"/>
          <w:sz w:val="22"/>
          <w:szCs w:val="22"/>
        </w:rPr>
        <w:t xml:space="preserve">Cleaning.ipynb — Google Colab notebook documenting the data-cleaning workflow.</w:t>
      </w:r>
    </w:p>
    <w:p>
      <w:pPr>
        <w:pStyle w:val="ListParagraph"/>
        <w:numPr>
          <w:ilvl w:val="0"/>
          <w:numId w:val="2"/>
        </w:numPr>
        <w:spacing w:after="90"/>
      </w:pPr>
      <w:r>
        <w:rPr>
          <w:rFonts w:ascii="Calibri" w:cs="Calibri" w:eastAsia="Calibri" w:hAnsi="Calibri"/>
          <w:color w:val="262626"/>
          <w:sz w:val="22"/>
          <w:szCs w:val="22"/>
        </w:rPr>
        <w:t xml:space="preserve">cleaned_budget_vs_actual_data.xlsx — the cleaned dataset used as the Power BI data source.</w:t>
      </w:r>
    </w:p>
    <w:p>
      <w:pPr>
        <w:pStyle w:val="ListParagraph"/>
        <w:numPr>
          <w:ilvl w:val="0"/>
          <w:numId w:val="2"/>
        </w:numPr>
        <w:spacing w:after="90"/>
      </w:pPr>
      <w:r>
        <w:rPr>
          <w:rFonts w:ascii="Calibri" w:cs="Calibri" w:eastAsia="Calibri" w:hAnsi="Calibri"/>
          <w:color w:val="262626"/>
          <w:sz w:val="22"/>
          <w:szCs w:val="22"/>
        </w:rPr>
        <w:t xml:space="preserve">Budget_vs_Actual_Expense_Analysis.pptx — presentation summarizing the project workflow and results.</w:t>
      </w:r>
    </w:p>
    <w:p>
      <w:pPr>
        <w:pStyle w:val="ListParagraph"/>
        <w:numPr>
          <w:ilvl w:val="0"/>
          <w:numId w:val="2"/>
        </w:numPr>
        <w:spacing w:after="90"/>
      </w:pPr>
      <w:r>
        <w:rPr>
          <w:rFonts w:ascii="Calibri" w:cs="Calibri" w:eastAsia="Calibri" w:hAnsi="Calibri"/>
          <w:color w:val="262626"/>
          <w:sz w:val="22"/>
          <w:szCs w:val="22"/>
        </w:rPr>
        <w:t xml:space="preserve">Live Power BI dashboard — interactive report with KPI cards, six core visuals, and Region/Department slicers.</w:t>
      </w:r>
    </w:p>
    <w:p>
      <w:pPr>
        <w:pStyle w:val="Heading2"/>
        <w:spacing w:after="120" w:before="240"/>
      </w:pPr>
      <w:r>
        <w:rPr>
          <w:rFonts w:ascii="Calibri" w:cs="Calibri" w:eastAsia="Calibri" w:hAnsi="Calibri"/>
          <w:b/>
          <w:bCs/>
          <w:color w:val="2E5AA8"/>
          <w:sz w:val="24"/>
          <w:szCs w:val="24"/>
        </w:rPr>
        <w:t xml:space="preserve">References</w:t>
      </w:r>
    </w:p>
    <w:p>
      <w:pPr>
        <w:pStyle w:val="ListParagraph"/>
        <w:numPr>
          <w:ilvl w:val="0"/>
          <w:numId w:val="2"/>
        </w:numPr>
        <w:spacing w:after="90"/>
      </w:pPr>
      <w:r>
        <w:rPr>
          <w:rFonts w:ascii="Calibri" w:cs="Calibri" w:eastAsia="Calibri" w:hAnsi="Calibri"/>
          <w:color w:val="262626"/>
          <w:sz w:val="22"/>
          <w:szCs w:val="22"/>
        </w:rPr>
        <w:t xml:space="preserve">Kaggle — Budget vs Actual Expense dataset (source data).</w:t>
      </w:r>
    </w:p>
    <w:p>
      <w:pPr>
        <w:pStyle w:val="ListParagraph"/>
        <w:numPr>
          <w:ilvl w:val="0"/>
          <w:numId w:val="2"/>
        </w:numPr>
        <w:spacing w:after="90"/>
      </w:pPr>
      <w:r>
        <w:rPr>
          <w:rFonts w:ascii="Calibri" w:cs="Calibri" w:eastAsia="Calibri" w:hAnsi="Calibri"/>
          <w:color w:val="262626"/>
          <w:sz w:val="22"/>
          <w:szCs w:val="22"/>
        </w:rPr>
        <w:t xml:space="preserve">Microsoft Power BI documentation — Power Query and DAX reference materials.</w:t>
      </w:r>
    </w:p>
    <w:p>
      <w:pPr>
        <w:pStyle w:val="ListParagraph"/>
        <w:numPr>
          <w:ilvl w:val="0"/>
          <w:numId w:val="2"/>
        </w:numPr>
        <w:spacing w:after="90"/>
      </w:pPr>
      <w:r>
        <w:rPr>
          <w:rFonts w:ascii="Calibri" w:cs="Calibri" w:eastAsia="Calibri" w:hAnsi="Calibri"/>
          <w:color w:val="262626"/>
          <w:sz w:val="22"/>
          <w:szCs w:val="22"/>
        </w:rPr>
        <w:t xml:space="preserve">Python pandas documentation — data-cleaning functions (drop_duplicates, dropna, isnull).</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6"/>
        <w:szCs w:val="16"/>
      </w:rPr>
      <w:t xml:space="preserve">Budget vs Actual Expense Analysis</w:t>
    </w:r>
    <w:r>
      <w:rPr>
        <w:rFonts w:ascii="Calibri" w:cs="Calibri" w:eastAsia="Calibri" w:hAnsi="Calibri"/>
        <w:color w:val="595959"/>
        <w:sz w:val="16"/>
        <w:szCs w:val="16"/>
      </w:rPr>
      <w:t xml:space="preserve">	Data Analytics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559045841caac30e1a66fcb7822214a1241f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2026-08-29T04:55:20.041Z</dcterms:created>
  <dcterms:modified xsi:type="dcterms:W3CDTF">2026-08-29T04:55:20.054Z</dcterms:modified>
</cp:coreProperties>
</file>

<file path=docProps/custom.xml><?xml version="1.0" encoding="utf-8"?>
<Properties xmlns="http://schemas.openxmlformats.org/officeDocument/2006/custom-properties" xmlns:vt="http://schemas.openxmlformats.org/officeDocument/2006/docPropsVTypes"/>
</file>