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к.т.н</w:t>
      </w:r>
      <w:proofErr w:type="spellEnd"/>
      <w:r>
        <w:rPr>
          <w:rFonts w:eastAsia="Calibri"/>
          <w:szCs w:val="28"/>
        </w:rPr>
        <w:t>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>А.А. Калентьев</w:t>
      </w:r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Footer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TOCHeading"/>
            <w:tabs>
              <w:tab w:val="left" w:pos="1276"/>
            </w:tabs>
          </w:pPr>
          <w:r>
            <w:t>Оглавление</w:t>
          </w:r>
        </w:p>
        <w:p w14:paraId="12A911D7" w14:textId="5D490E94" w:rsidR="0024000A" w:rsidRDefault="004F53E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Hyperlink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496B970D" w:rsidR="0024000A" w:rsidRDefault="0052683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Hyperlink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5D0FE462" w:rsidR="0024000A" w:rsidRDefault="0052683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Hyperlink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73D802FF" w:rsidR="0024000A" w:rsidRDefault="0052683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Hyperlink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7F6FA16C" w:rsidR="0024000A" w:rsidRDefault="0052683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Hyperlink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617073A4" w:rsidR="0024000A" w:rsidRDefault="0052683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Hyperlink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5D4D8DEA" w:rsidR="0024000A" w:rsidRDefault="0052683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Hyperlink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51BDA5EE" w:rsidR="0024000A" w:rsidRDefault="0052683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Hyperlink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7BB46BE2" w:rsidR="0024000A" w:rsidRDefault="0052683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Hyperlink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1A8056A7" w:rsidR="0024000A" w:rsidRDefault="0052683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Hyperlink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4AC6C80D" w:rsidR="0024000A" w:rsidRDefault="0052683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Hyperlink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Макеты пользовательского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5251A0CD" w:rsidR="0024000A" w:rsidRDefault="0052683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Hyperlink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12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16C3E106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Heading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Heading2"/>
        <w:rPr>
          <w:lang w:val="ru-RU"/>
        </w:rPr>
      </w:pPr>
      <w:bookmarkStart w:id="2" w:name="_Toc34958380"/>
      <w:bookmarkStart w:id="3" w:name="_Toc35312075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bookmarkEnd w:id="2"/>
      <w:bookmarkEnd w:id="3"/>
      <w:proofErr w:type="spellEnd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3CEBBEB0" w14:textId="1FDC1046" w:rsidR="004F53E8" w:rsidRDefault="004F53E8" w:rsidP="00A0777C">
      <w:pPr>
        <w:pStyle w:val="Heading2"/>
      </w:pPr>
      <w:bookmarkStart w:id="4" w:name="_Toc34958381"/>
      <w:bookmarkStart w:id="5" w:name="_Toc35312076"/>
      <w:proofErr w:type="spellStart"/>
      <w:r>
        <w:t>Описание</w:t>
      </w:r>
      <w:proofErr w:type="spellEnd"/>
      <w:r>
        <w:t xml:space="preserve">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DABC20C" w14:textId="77777777" w:rsidR="004F53E8" w:rsidRDefault="004F53E8" w:rsidP="00932BFF">
      <w:pPr>
        <w:ind w:firstLine="720"/>
      </w:pPr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commentRangeStart w:id="6"/>
      <w:r w:rsidRPr="00A07438">
        <w:rPr>
          <w:lang w:val="en-US"/>
        </w:rPr>
        <w:t>AutoCAD</w:t>
      </w:r>
      <w:commentRangeEnd w:id="6"/>
      <w:r w:rsidR="00A30372">
        <w:rPr>
          <w:rStyle w:val="CommentReference"/>
        </w:rPr>
        <w:commentReference w:id="6"/>
      </w:r>
      <w:r w:rsidRPr="00A07438">
        <w:t>.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</w:rPr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4955DA44" w14:textId="77777777" w:rsidR="004F53E8" w:rsidRDefault="004F53E8" w:rsidP="00932BFF">
      <w:pPr>
        <w:ind w:firstLine="720"/>
      </w:pPr>
      <w:r>
        <w:t xml:space="preserve">Интерфейс </w:t>
      </w:r>
      <w:proofErr w:type="spellStart"/>
      <w:r>
        <w:t>ActiveX</w:t>
      </w:r>
      <w:proofErr w:type="spellEnd"/>
      <w:r>
        <w:t xml:space="preserve">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</w:t>
      </w:r>
    </w:p>
    <w:p w14:paraId="7DA34920" w14:textId="77777777" w:rsidR="004F53E8" w:rsidRPr="00CA5DD3" w:rsidRDefault="004F53E8" w:rsidP="00932BFF">
      <w:pPr>
        <w:ind w:firstLine="720"/>
      </w:pPr>
      <w:r>
        <w:t xml:space="preserve">Кроме того, интерфейс </w:t>
      </w:r>
      <w:proofErr w:type="spellStart"/>
      <w:r>
        <w:t>ActiveX</w:t>
      </w:r>
      <w:proofErr w:type="spellEnd"/>
      <w:r>
        <w:t xml:space="preserve">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</w:t>
      </w:r>
      <w:commentRangeStart w:id="7"/>
      <w:r>
        <w:t>API</w:t>
      </w:r>
      <w:commentRangeEnd w:id="7"/>
      <w:r w:rsidR="00A30372">
        <w:rPr>
          <w:rStyle w:val="CommentReference"/>
        </w:rPr>
        <w:commentReference w:id="7"/>
      </w:r>
      <w:r>
        <w:t>.</w:t>
      </w:r>
      <w:r w:rsidRPr="00CA5DD3">
        <w:t xml:space="preserve"> 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15B3C5A2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 w:rsidR="00071348" w:rsidRPr="00071348">
        <w:t>;</w:t>
      </w:r>
    </w:p>
    <w:p w14:paraId="39160BF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ListParagraph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 w:rsidRPr="003071F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(</w:t>
            </w:r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proofErr w:type="spellStart"/>
            <w:r w:rsidR="002B2124">
              <w:rPr>
                <w:lang w:val="en-US"/>
              </w:rPr>
              <w:t>bject</w:t>
            </w:r>
            <w:proofErr w:type="spellEnd"/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Extrude(int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50B015EC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commentRangeStart w:id="8"/>
            <w:proofErr w:type="spellStart"/>
            <w:r>
              <w:t>накло</w:t>
            </w:r>
            <w:r w:rsidR="00DE23DB">
              <w:t>л</w:t>
            </w:r>
            <w:r>
              <w:t>е</w:t>
            </w:r>
            <w:proofErr w:type="spellEnd"/>
            <w:r>
              <w:t xml:space="preserve"> </w:t>
            </w:r>
            <w:commentRangeEnd w:id="8"/>
            <w:r w:rsidR="00A30372">
              <w:rPr>
                <w:rStyle w:val="CommentReference"/>
              </w:rPr>
              <w:commentReference w:id="8"/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9" w:name="_Toc34958382"/>
      <w:bookmarkStart w:id="10" w:name="_Toc35312077"/>
      <w:r>
        <w:lastRenderedPageBreak/>
        <w:t>Обзор аналогов</w:t>
      </w:r>
      <w:bookmarkEnd w:id="9"/>
      <w:bookmarkEnd w:id="10"/>
    </w:p>
    <w:p w14:paraId="207FFFAE" w14:textId="4C60ED9B" w:rsidR="00932BFF" w:rsidRPr="00986930" w:rsidRDefault="00840400" w:rsidP="00A0777C">
      <w:pPr>
        <w:pStyle w:val="Heading2"/>
        <w:rPr>
          <w:lang w:val="ru-RU"/>
        </w:rPr>
      </w:pPr>
      <w:bookmarkStart w:id="11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11"/>
    </w:p>
    <w:p w14:paraId="65C90D0A" w14:textId="606C5A5A" w:rsidR="00986930" w:rsidRPr="00B97B4F" w:rsidRDefault="007B453A" w:rsidP="007B453A">
      <w:pPr>
        <w:pStyle w:val="BodyText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BodyText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BodyText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Heading2"/>
      </w:pPr>
      <w:r w:rsidRPr="00CA5DD3">
        <w:rPr>
          <w:lang w:val="ru-RU"/>
        </w:rPr>
        <w:t xml:space="preserve"> </w:t>
      </w:r>
      <w:bookmarkStart w:id="12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12"/>
    </w:p>
    <w:p w14:paraId="5B28E806" w14:textId="2AA88FAF" w:rsidR="007E74AF" w:rsidRPr="000F0FC3" w:rsidRDefault="00C13983" w:rsidP="00C13983">
      <w:pPr>
        <w:pStyle w:val="BodyText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BodyText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BodyText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BodyText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Default="00840400" w:rsidP="00840400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BodyText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13" w:name="_Toc34958383"/>
      <w:bookmarkStart w:id="14" w:name="_Toc35312080"/>
      <w:r>
        <w:t>Описание предмета проектирования</w:t>
      </w:r>
      <w:bookmarkEnd w:id="13"/>
      <w:bookmarkEnd w:id="14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77777777" w:rsidR="007D39B4" w:rsidRDefault="00200B53" w:rsidP="00F27530">
      <w:pPr>
        <w:ind w:firstLine="720"/>
      </w:pPr>
      <w:r w:rsidRPr="00200B53">
        <w:t xml:space="preserve">Конструкцию графина можно условно разделить на две основные части. Нижняя — это вместилище для жидкости; верхняя — удлиненное горлышко для налива. Пропорции составляющих могут меняться, но в целом они обычно примерно одинаковые (могут колебаться до 30/70 и </w:t>
      </w:r>
      <w:commentRangeStart w:id="15"/>
      <w:r w:rsidRPr="00200B53">
        <w:t>наоборот</w:t>
      </w:r>
      <w:commentRangeEnd w:id="15"/>
      <w:r w:rsidR="00A30372">
        <w:rPr>
          <w:rStyle w:val="CommentReference"/>
        </w:rPr>
        <w:commentReference w:id="15"/>
      </w:r>
      <w:r w:rsidRPr="00200B53">
        <w:t xml:space="preserve">).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72E47965" w:rsidR="00932BFF" w:rsidRPr="00450B13" w:rsidRDefault="00CE6791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>от 50 до 500 мм;</w:t>
      </w:r>
    </w:p>
    <w:p w14:paraId="7C02D7F9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506FC4FA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 w:rsidR="00DD26D4">
        <w:t>3</w:t>
      </w:r>
      <w:r w:rsidR="003E0722">
        <w:t xml:space="preserve">/2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733919E8" w:rsidR="00932BFF" w:rsidRPr="00450B13" w:rsidRDefault="00A0155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70 мм);</w:t>
      </w:r>
    </w:p>
    <w:p w14:paraId="1B399860" w14:textId="77777777" w:rsidR="00932BFF" w:rsidRPr="00B74285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109D1BBD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701A03B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lastRenderedPageBreak/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246CC00B" w14:textId="791E3E4B" w:rsidR="00932BFF" w:rsidRPr="00450B13" w:rsidRDefault="00F27530" w:rsidP="00932BFF">
      <w:pPr>
        <w:pStyle w:val="BodyText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76DC0C2E" w:rsidR="00932BFF" w:rsidRDefault="00932BFF" w:rsidP="00932BFF">
      <w:pPr>
        <w:pStyle w:val="BodyText"/>
        <w:ind w:left="0" w:right="50" w:firstLine="0"/>
        <w:jc w:val="center"/>
      </w:pPr>
      <w:commentRangeStart w:id="16"/>
      <w:r w:rsidRPr="00450B13">
        <w:t xml:space="preserve">Рисунок </w:t>
      </w:r>
      <w:r w:rsidR="00CA5DD3">
        <w:rPr>
          <w:lang w:val="en-US"/>
        </w:rPr>
        <w:t>3</w:t>
      </w:r>
      <w:r w:rsidRPr="00450B13">
        <w:t xml:space="preserve"> </w:t>
      </w:r>
      <w:commentRangeEnd w:id="16"/>
      <w:r w:rsidR="00A30372">
        <w:rPr>
          <w:rStyle w:val="CommentReference"/>
        </w:rPr>
        <w:commentReference w:id="16"/>
      </w:r>
      <w:r w:rsidRPr="00450B13">
        <w:t>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Heading1"/>
        <w:numPr>
          <w:ilvl w:val="0"/>
          <w:numId w:val="12"/>
        </w:numPr>
        <w:ind w:left="360"/>
      </w:pPr>
      <w:bookmarkStart w:id="17" w:name="_Toc34958384"/>
      <w:bookmarkStart w:id="18" w:name="_Toc35312081"/>
      <w:r>
        <w:t xml:space="preserve">Проект </w:t>
      </w:r>
      <w:r w:rsidRPr="008E1E84">
        <w:t>программы</w:t>
      </w:r>
      <w:bookmarkEnd w:id="17"/>
      <w:bookmarkEnd w:id="18"/>
    </w:p>
    <w:p w14:paraId="5DEDF368" w14:textId="16059ED7" w:rsidR="00932BFF" w:rsidRDefault="00932BFF" w:rsidP="00A0777C">
      <w:pPr>
        <w:pStyle w:val="Heading2"/>
      </w:pPr>
      <w:bookmarkStart w:id="19" w:name="_Toc34958385"/>
      <w:bookmarkStart w:id="20" w:name="_Toc35312082"/>
      <w:proofErr w:type="spellStart"/>
      <w:r>
        <w:t>Диаграмм</w:t>
      </w:r>
      <w:bookmarkEnd w:id="19"/>
      <w:proofErr w:type="spellEnd"/>
      <w:r w:rsidR="00EC7539">
        <w:rPr>
          <w:lang w:val="ru-RU"/>
        </w:rPr>
        <w:t>а прецедентов</w:t>
      </w:r>
      <w:bookmarkEnd w:id="20"/>
      <w:r>
        <w:t xml:space="preserve"> </w:t>
      </w:r>
    </w:p>
    <w:p w14:paraId="71275254" w14:textId="2873B75D" w:rsidR="008D059E" w:rsidRDefault="008D059E" w:rsidP="008D059E">
      <w:pPr>
        <w:ind w:firstLine="720"/>
      </w:pPr>
      <w:commentRangeStart w:id="21"/>
      <w:r>
        <w:t>Диаграмма</w:t>
      </w:r>
      <w:commentRangeEnd w:id="21"/>
      <w:r w:rsidR="00A30372">
        <w:rPr>
          <w:rStyle w:val="CommentReference"/>
        </w:rPr>
        <w:commentReference w:id="21"/>
      </w:r>
      <w:r>
        <w:t xml:space="preserve">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0DF5C266" w14:textId="77777777" w:rsidR="00D72773" w:rsidRDefault="008D059E" w:rsidP="008D059E">
      <w:pPr>
        <w:ind w:firstLine="720"/>
      </w:pPr>
      <w:r>
        <w:t xml:space="preserve"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</w:t>
      </w:r>
      <w:commentRangeStart w:id="22"/>
      <w:r>
        <w:t>системой</w:t>
      </w:r>
      <w:commentRangeEnd w:id="22"/>
      <w:r w:rsidR="00A30372">
        <w:rPr>
          <w:rStyle w:val="CommentReference"/>
        </w:rPr>
        <w:commentReference w:id="22"/>
      </w:r>
      <w:r>
        <w:t>.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Heading2"/>
      </w:pPr>
      <w:bookmarkStart w:id="23" w:name="_Toc34958386"/>
      <w:bookmarkStart w:id="24" w:name="_Toc35312083"/>
      <w:proofErr w:type="spellStart"/>
      <w:r w:rsidRPr="003C3AAE">
        <w:t>Диаграмма</w:t>
      </w:r>
      <w:proofErr w:type="spellEnd"/>
      <w:r>
        <w:t xml:space="preserve"> </w:t>
      </w:r>
      <w:proofErr w:type="spellStart"/>
      <w:r>
        <w:t>классов</w:t>
      </w:r>
      <w:bookmarkEnd w:id="23"/>
      <w:bookmarkEnd w:id="24"/>
      <w:proofErr w:type="spellEnd"/>
    </w:p>
    <w:p w14:paraId="700D7C70" w14:textId="77777777" w:rsidR="006B62D5" w:rsidRDefault="006B62D5" w:rsidP="006B62D5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</w:t>
      </w:r>
      <w:commentRangeStart w:id="25"/>
      <w:r w:rsidRPr="006B62D5">
        <w:t>ними</w:t>
      </w:r>
      <w:commentRangeEnd w:id="25"/>
      <w:r w:rsidR="00A30372">
        <w:rPr>
          <w:rStyle w:val="CommentReference"/>
        </w:rPr>
        <w:commentReference w:id="25"/>
      </w:r>
      <w:r w:rsidRPr="006B62D5">
        <w:t xml:space="preserve">. </w:t>
      </w:r>
    </w:p>
    <w:p w14:paraId="5CE8B781" w14:textId="6D3D9F19" w:rsidR="006B62D5" w:rsidRDefault="006B62D5" w:rsidP="006B62D5">
      <w:pPr>
        <w:ind w:firstLine="709"/>
      </w:pPr>
      <w:r w:rsidRPr="006B62D5">
        <w:t xml:space="preserve">Широко используется при проектировании системы программного </w:t>
      </w:r>
      <w:commentRangeStart w:id="26"/>
      <w:r w:rsidRPr="006B62D5">
        <w:t xml:space="preserve">продукта, т.к. является наглядным представлением ее организации. </w:t>
      </w:r>
      <w:commentRangeEnd w:id="26"/>
      <w:r w:rsidR="00A30372">
        <w:rPr>
          <w:rStyle w:val="CommentReference"/>
        </w:rPr>
        <w:commentReference w:id="26"/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6862363B" w14:textId="41C72865" w:rsidR="00AC2DA6" w:rsidRDefault="00AC2DA6" w:rsidP="00AC2DA6">
      <w:pPr>
        <w:jc w:val="center"/>
      </w:pPr>
      <w:commentRangeStart w:id="27"/>
      <w:r>
        <w:rPr>
          <w:noProof/>
        </w:rPr>
        <w:lastRenderedPageBreak/>
        <w:drawing>
          <wp:inline distT="0" distB="0" distL="0" distR="0" wp14:anchorId="2B6657C0" wp14:editId="5F38FBA1">
            <wp:extent cx="5219700" cy="414680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574" cy="41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7"/>
      <w:r w:rsidR="00A30372">
        <w:rPr>
          <w:rStyle w:val="CommentReference"/>
        </w:rPr>
        <w:commentReference w:id="27"/>
      </w:r>
    </w:p>
    <w:p w14:paraId="106586DB" w14:textId="734A63A4" w:rsidR="00AC2DA6" w:rsidRDefault="00AC2DA6" w:rsidP="00A16DA1">
      <w:pPr>
        <w:spacing w:after="240"/>
        <w:jc w:val="center"/>
      </w:pPr>
      <w:r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 xml:space="preserve">Класс </w:t>
      </w:r>
      <w:proofErr w:type="spellStart"/>
      <w:r>
        <w:t>ModelForm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proofErr w:type="spellStart"/>
      <w:r>
        <w:t>ModelBuilder</w:t>
      </w:r>
      <w:proofErr w:type="spellEnd"/>
      <w:r>
        <w:t xml:space="preserve">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proofErr w:type="spellStart"/>
      <w:r>
        <w:t>ConnectionManager</w:t>
      </w:r>
      <w:proofErr w:type="spellEnd"/>
      <w:r>
        <w:t xml:space="preserve">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51134D61" w14:textId="700F4C24" w:rsidR="0006754E" w:rsidRDefault="0006754E" w:rsidP="0006754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2F74B13F" w14:textId="6BBE616C" w:rsidR="009F66D3" w:rsidRDefault="0006754E" w:rsidP="0024000A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Heading2"/>
      </w:pPr>
      <w:bookmarkStart w:id="29" w:name="_Toc34958387"/>
      <w:bookmarkStart w:id="30" w:name="_Toc35312084"/>
      <w:proofErr w:type="spellStart"/>
      <w:r>
        <w:t>Макеты</w:t>
      </w:r>
      <w:proofErr w:type="spellEnd"/>
      <w:r>
        <w:t xml:space="preserve"> </w:t>
      </w:r>
      <w:proofErr w:type="spellStart"/>
      <w:r w:rsidRPr="003C3AAE"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bookmarkEnd w:id="29"/>
      <w:bookmarkEnd w:id="30"/>
      <w:proofErr w:type="spellEnd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</w:t>
      </w:r>
      <w:r>
        <w:lastRenderedPageBreak/>
        <w:t xml:space="preserve">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proofErr w:type="spellStart"/>
      <w:r w:rsidR="00DD26D4" w:rsidRPr="00DD26D4">
        <w:t>Carafe</w:t>
      </w:r>
      <w:proofErr w:type="spellEnd"/>
      <w:r w:rsidR="00DD26D4" w:rsidRPr="00DD26D4">
        <w:t xml:space="preserve"> </w:t>
      </w:r>
      <w:proofErr w:type="spellStart"/>
      <w:r w:rsidR="00DD26D4" w:rsidRPr="00DD26D4">
        <w:t>height</w:t>
      </w:r>
      <w:proofErr w:type="spellEnd"/>
      <w:r w:rsidR="00DD26D4" w:rsidRPr="00DD26D4">
        <w:t xml:space="preserve"> </w:t>
      </w:r>
      <w:proofErr w:type="spellStart"/>
      <w:r w:rsidR="00DD26D4" w:rsidRPr="00DD26D4">
        <w:t>can</w:t>
      </w:r>
      <w:r w:rsidR="007E19CE" w:rsidRPr="00853200">
        <w:t>`</w:t>
      </w:r>
      <w:r w:rsidR="00DD26D4" w:rsidRPr="00DD26D4">
        <w:t>t</w:t>
      </w:r>
      <w:proofErr w:type="spellEnd"/>
      <w:r w:rsidR="00DD26D4" w:rsidRPr="00DD26D4">
        <w:t xml:space="preserve"> </w:t>
      </w:r>
      <w:proofErr w:type="spellStart"/>
      <w:r w:rsidR="00DD26D4" w:rsidRPr="00DD26D4">
        <w:t>be</w:t>
      </w:r>
      <w:proofErr w:type="spellEnd"/>
      <w:r w:rsidR="00DD26D4" w:rsidRPr="00DD26D4">
        <w:t xml:space="preserve"> </w:t>
      </w:r>
      <w:proofErr w:type="spellStart"/>
      <w:r w:rsidR="00DD26D4" w:rsidRPr="00DD26D4">
        <w:t>more</w:t>
      </w:r>
      <w:proofErr w:type="spellEnd"/>
      <w:r w:rsidR="00DD26D4" w:rsidRPr="00DD26D4">
        <w:t xml:space="preserve"> </w:t>
      </w:r>
      <w:proofErr w:type="spellStart"/>
      <w:r w:rsidR="00DD26D4" w:rsidRPr="00DD26D4">
        <w:t>than</w:t>
      </w:r>
      <w:proofErr w:type="spellEnd"/>
      <w:r w:rsidR="00DD26D4" w:rsidRPr="00DD26D4">
        <w:t xml:space="preserve"> 500 </w:t>
      </w:r>
      <w:proofErr w:type="spellStart"/>
      <w:r w:rsidR="00DD26D4" w:rsidRPr="00DD26D4">
        <w:t>mm</w:t>
      </w:r>
      <w:proofErr w:type="spellEnd"/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BodyText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47AB6A9E" w14:textId="3FA31837" w:rsidR="008F7A67" w:rsidRPr="00FB680F" w:rsidRDefault="008F7A67" w:rsidP="00DD4127">
      <w:pPr>
        <w:widowControl/>
        <w:autoSpaceDE/>
        <w:autoSpaceDN/>
        <w:ind w:left="720"/>
      </w:pPr>
      <w:r>
        <w:t>Группа 4 – область управления построением.</w:t>
      </w:r>
    </w:p>
    <w:p w14:paraId="7FC0ABB6" w14:textId="77777777" w:rsidR="00932BFF" w:rsidRPr="001A154A" w:rsidRDefault="00932BFF" w:rsidP="00932BFF">
      <w:pPr>
        <w:widowControl/>
        <w:autoSpaceDE/>
        <w:autoSpaceDN/>
        <w:spacing w:after="160" w:line="259" w:lineRule="auto"/>
        <w:jc w:val="left"/>
      </w:pPr>
      <w:r w:rsidRPr="001A154A">
        <w:br w:type="page"/>
      </w:r>
    </w:p>
    <w:p w14:paraId="1D8864CC" w14:textId="77777777" w:rsidR="00932BFF" w:rsidRPr="00D702E9" w:rsidRDefault="00932BFF" w:rsidP="00932BFF">
      <w:pPr>
        <w:pStyle w:val="Heading1"/>
      </w:pPr>
      <w:bookmarkStart w:id="31" w:name="_Toc34958388"/>
      <w:bookmarkStart w:id="32" w:name="_Toc35312085"/>
      <w:r>
        <w:lastRenderedPageBreak/>
        <w:t>Список использованных источников</w:t>
      </w:r>
      <w:bookmarkEnd w:id="31"/>
      <w:bookmarkEnd w:id="32"/>
    </w:p>
    <w:p w14:paraId="148FAD5F" w14:textId="77777777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7" w:history="1">
        <w:r w:rsidRPr="00F10371">
          <w:rPr>
            <w:rStyle w:val="Hyperlink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8" w:history="1">
        <w:r w:rsidRPr="00F10371">
          <w:rPr>
            <w:rStyle w:val="Hyperlink"/>
          </w:rPr>
          <w:t>https://www.autodesk.ru/autodesk-developer-network/software-platform-russian /</w:t>
        </w:r>
        <w:proofErr w:type="spellStart"/>
        <w:r w:rsidRPr="00F10371">
          <w:rPr>
            <w:rStyle w:val="Hyperlink"/>
          </w:rPr>
          <w:t>develop-autocad</w:t>
        </w:r>
        <w:proofErr w:type="spellEnd"/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35365A7A" w:rsidR="00986930" w:rsidRDefault="00986930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 w:rsidRPr="00986930">
        <w:rPr>
          <w:lang w:val="en-US"/>
        </w:rPr>
        <w:t>SoftDraft</w:t>
      </w:r>
      <w:proofErr w:type="spellEnd"/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19" w:history="1">
        <w:r w:rsidRPr="00750BD4">
          <w:rPr>
            <w:rStyle w:val="Hyperlink"/>
          </w:rPr>
          <w:t>https://www.softdraft.com/</w:t>
        </w:r>
      </w:hyperlink>
      <w:r>
        <w:t xml:space="preserve"> (дата посещения: 13.03.2020)</w:t>
      </w:r>
      <w:r w:rsidR="00B730AF">
        <w:t>.</w:t>
      </w:r>
    </w:p>
    <w:p w14:paraId="263B397B" w14:textId="77777777" w:rsidR="004F53E8" w:rsidRDefault="004F53E8"/>
    <w:sectPr w:rsidR="004F53E8" w:rsidSect="00173AD8">
      <w:headerReference w:type="default" r:id="rId20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Алексей А. Калентьев" w:date="2020-03-20T21:45:00Z" w:initials="ААК">
    <w:p w14:paraId="03B71038" w14:textId="3D28E3F2" w:rsidR="00A30372" w:rsidRDefault="00A30372">
      <w:pPr>
        <w:pStyle w:val="CommentText"/>
      </w:pPr>
      <w:r>
        <w:rPr>
          <w:rStyle w:val="CommentReference"/>
        </w:rPr>
        <w:annotationRef/>
      </w:r>
      <w:r>
        <w:t>Ссылка?</w:t>
      </w:r>
    </w:p>
  </w:comment>
  <w:comment w:id="7" w:author="Алексей А. Калентьев" w:date="2020-03-20T21:45:00Z" w:initials="ААК">
    <w:p w14:paraId="6D0EB1CD" w14:textId="7C66D402" w:rsidR="00A30372" w:rsidRDefault="00A30372">
      <w:pPr>
        <w:pStyle w:val="CommentText"/>
      </w:pPr>
      <w:r>
        <w:rPr>
          <w:rStyle w:val="CommentReference"/>
        </w:rPr>
        <w:annotationRef/>
      </w:r>
      <w:r>
        <w:t>Ссылка?</w:t>
      </w:r>
    </w:p>
  </w:comment>
  <w:comment w:id="8" w:author="Алексей А. Калентьев" w:date="2020-03-20T21:45:00Z" w:initials="ААК">
    <w:p w14:paraId="0FE03F2D" w14:textId="28E44AEF" w:rsidR="00A30372" w:rsidRDefault="00A30372">
      <w:pPr>
        <w:pStyle w:val="CommentText"/>
      </w:pPr>
      <w:r>
        <w:rPr>
          <w:rStyle w:val="CommentReference"/>
        </w:rPr>
        <w:annotationRef/>
      </w:r>
    </w:p>
  </w:comment>
  <w:comment w:id="15" w:author="Алексей А. Калентьев" w:date="2020-03-20T21:46:00Z" w:initials="ААК">
    <w:p w14:paraId="2BE8BC6F" w14:textId="63FB38F9" w:rsidR="00A30372" w:rsidRDefault="00A30372">
      <w:pPr>
        <w:pStyle w:val="CommentText"/>
      </w:pPr>
      <w:r>
        <w:rPr>
          <w:rStyle w:val="CommentReference"/>
        </w:rPr>
        <w:annotationRef/>
      </w:r>
      <w:r>
        <w:t>Ссылка на рисунок?</w:t>
      </w:r>
    </w:p>
  </w:comment>
  <w:comment w:id="16" w:author="Алексей А. Калентьев" w:date="2020-03-20T21:46:00Z" w:initials="ААК">
    <w:p w14:paraId="591B8565" w14:textId="78F498F2" w:rsidR="00A30372" w:rsidRDefault="00A30372">
      <w:pPr>
        <w:pStyle w:val="CommentText"/>
      </w:pPr>
      <w:r>
        <w:rPr>
          <w:rStyle w:val="CommentReference"/>
        </w:rPr>
        <w:annotationRef/>
      </w:r>
      <w:r>
        <w:t>ОСТУСУР</w:t>
      </w:r>
    </w:p>
  </w:comment>
  <w:comment w:id="21" w:author="Алексей А. Калентьев" w:date="2020-03-20T21:47:00Z" w:initials="ААК">
    <w:p w14:paraId="37C59ACC" w14:textId="57382A8F" w:rsidR="00A30372" w:rsidRPr="00A30372" w:rsidRDefault="00A30372">
      <w:pPr>
        <w:pStyle w:val="CommentText"/>
      </w:pPr>
      <w:r>
        <w:rPr>
          <w:rStyle w:val="CommentReference"/>
        </w:rPr>
        <w:annotationRef/>
      </w:r>
      <w:r>
        <w:t xml:space="preserve">Вводная про </w:t>
      </w:r>
      <w:r>
        <w:rPr>
          <w:lang w:val="en-US"/>
        </w:rPr>
        <w:t>UML</w:t>
      </w:r>
      <w:r w:rsidRPr="00A30372">
        <w:t xml:space="preserve"> </w:t>
      </w:r>
      <w:r>
        <w:t>со ссылкой на источники</w:t>
      </w:r>
    </w:p>
  </w:comment>
  <w:comment w:id="22" w:author="Алексей А. Калентьев" w:date="2020-03-20T21:47:00Z" w:initials="ААК">
    <w:p w14:paraId="20C586A5" w14:textId="16F9D24E" w:rsidR="00A30372" w:rsidRDefault="00A30372">
      <w:pPr>
        <w:pStyle w:val="CommentText"/>
      </w:pPr>
      <w:r>
        <w:rPr>
          <w:rStyle w:val="CommentReference"/>
        </w:rPr>
        <w:annotationRef/>
      </w:r>
      <w:r>
        <w:t>Источник?</w:t>
      </w:r>
    </w:p>
  </w:comment>
  <w:comment w:id="25" w:author="Алексей А. Калентьев" w:date="2020-03-20T21:48:00Z" w:initials="ААК">
    <w:p w14:paraId="43B9C6C0" w14:textId="5D124EAD" w:rsidR="00A30372" w:rsidRDefault="00A30372">
      <w:pPr>
        <w:pStyle w:val="CommentText"/>
      </w:pPr>
      <w:r>
        <w:rPr>
          <w:rStyle w:val="CommentReference"/>
        </w:rPr>
        <w:annotationRef/>
      </w:r>
      <w:r>
        <w:t>Источники?</w:t>
      </w:r>
    </w:p>
  </w:comment>
  <w:comment w:id="26" w:author="Алексей А. Калентьев" w:date="2020-03-20T21:47:00Z" w:initials="ААК">
    <w:p w14:paraId="0905AE1D" w14:textId="1F957517" w:rsidR="00A30372" w:rsidRDefault="00A30372">
      <w:pPr>
        <w:pStyle w:val="CommentText"/>
      </w:pPr>
      <w:r>
        <w:rPr>
          <w:rStyle w:val="CommentReference"/>
        </w:rPr>
        <w:annotationRef/>
      </w:r>
      <w:proofErr w:type="spellStart"/>
      <w:r>
        <w:t>Щито</w:t>
      </w:r>
      <w:proofErr w:type="spellEnd"/>
      <w:r>
        <w:t>? О_О</w:t>
      </w:r>
    </w:p>
  </w:comment>
  <w:comment w:id="27" w:author="Алексей А. Калентьев" w:date="2020-03-20T21:48:00Z" w:initials="ААК">
    <w:p w14:paraId="1E905B67" w14:textId="70E19A6F" w:rsidR="00A30372" w:rsidRDefault="00A3037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ModelBuilder</w:t>
      </w:r>
      <w:proofErr w:type="spellEnd"/>
      <w:r>
        <w:rPr>
          <w:lang w:val="en-US"/>
        </w:rPr>
        <w:t xml:space="preserve">-Parameters – </w:t>
      </w:r>
      <w:r>
        <w:t>кто</w:t>
      </w:r>
      <w:r w:rsidRPr="00A30372">
        <w:rPr>
          <w:lang w:val="en-US"/>
        </w:rPr>
        <w:t xml:space="preserve"> </w:t>
      </w:r>
      <w:r>
        <w:t>кого</w:t>
      </w:r>
      <w:r w:rsidRPr="00A30372">
        <w:rPr>
          <w:lang w:val="en-US"/>
        </w:rPr>
        <w:t xml:space="preserve"> </w:t>
      </w:r>
      <w:r>
        <w:t>агрегирует</w:t>
      </w:r>
      <w:r w:rsidRPr="00A30372">
        <w:rPr>
          <w:lang w:val="en-US"/>
        </w:rPr>
        <w:t>?</w:t>
      </w:r>
    </w:p>
    <w:p w14:paraId="5B3CF0CC" w14:textId="77777777" w:rsidR="00A30372" w:rsidRDefault="00A30372">
      <w:pPr>
        <w:pStyle w:val="CommentText"/>
      </w:pPr>
      <w:r>
        <w:rPr>
          <w:lang w:val="en-US"/>
        </w:rPr>
        <w:t>Parameters</w:t>
      </w:r>
      <w:r w:rsidRPr="00A30372">
        <w:t xml:space="preserve"> – </w:t>
      </w:r>
      <w:r>
        <w:rPr>
          <w:lang w:val="en-US"/>
        </w:rPr>
        <w:t>Parameter</w:t>
      </w:r>
      <w:r w:rsidRPr="00A30372">
        <w:t xml:space="preserve"> – </w:t>
      </w:r>
      <w:r>
        <w:t>почему агрегация? Проставить кратности</w:t>
      </w:r>
    </w:p>
    <w:p w14:paraId="22613650" w14:textId="41CFA8E6" w:rsidR="00A30372" w:rsidRPr="00A30372" w:rsidRDefault="00A30372">
      <w:pPr>
        <w:pStyle w:val="CommentText"/>
        <w:rPr>
          <w:lang w:val="en-US"/>
        </w:rPr>
      </w:pPr>
      <w:proofErr w:type="spellStart"/>
      <w:r>
        <w:rPr>
          <w:lang w:val="en-US"/>
        </w:rPr>
        <w:t>ModelBuilder-ConnectionManager</w:t>
      </w:r>
      <w:proofErr w:type="spellEnd"/>
      <w:r>
        <w:rPr>
          <w:lang w:val="en-US"/>
        </w:rPr>
        <w:t xml:space="preserve"> – </w:t>
      </w:r>
      <w:r>
        <w:t>кто</w:t>
      </w:r>
      <w:r w:rsidRPr="00A30372">
        <w:rPr>
          <w:lang w:val="en-US"/>
        </w:rPr>
        <w:t xml:space="preserve"> </w:t>
      </w:r>
      <w:r>
        <w:t>кого</w:t>
      </w:r>
      <w:r w:rsidRPr="00A30372">
        <w:rPr>
          <w:lang w:val="en-US"/>
        </w:rPr>
        <w:t xml:space="preserve"> </w:t>
      </w:r>
      <w:proofErr w:type="spellStart"/>
      <w:r>
        <w:t>композирует</w:t>
      </w:r>
      <w:proofErr w:type="spellEnd"/>
      <w:r w:rsidRPr="00A30372">
        <w:rPr>
          <w:lang w:val="en-US"/>
        </w:rPr>
        <w:t>?</w:t>
      </w:r>
      <w:bookmarkStart w:id="28" w:name="_GoBack"/>
      <w:bookmarkEnd w:id="2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B71038" w15:done="0"/>
  <w15:commentEx w15:paraId="6D0EB1CD" w15:done="0"/>
  <w15:commentEx w15:paraId="0FE03F2D" w15:done="0"/>
  <w15:commentEx w15:paraId="2BE8BC6F" w15:done="0"/>
  <w15:commentEx w15:paraId="591B8565" w15:done="0"/>
  <w15:commentEx w15:paraId="37C59ACC" w15:done="0"/>
  <w15:commentEx w15:paraId="20C586A5" w15:done="0"/>
  <w15:commentEx w15:paraId="43B9C6C0" w15:done="0"/>
  <w15:commentEx w15:paraId="0905AE1D" w15:done="0"/>
  <w15:commentEx w15:paraId="226136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B71038" w16cid:durableId="221FB7FE"/>
  <w16cid:commentId w16cid:paraId="6D0EB1CD" w16cid:durableId="221FB805"/>
  <w16cid:commentId w16cid:paraId="0FE03F2D" w16cid:durableId="221FB817"/>
  <w16cid:commentId w16cid:paraId="2BE8BC6F" w16cid:durableId="221FB850"/>
  <w16cid:commentId w16cid:paraId="591B8565" w16cid:durableId="221FB832"/>
  <w16cid:commentId w16cid:paraId="37C59ACC" w16cid:durableId="221FB85B"/>
  <w16cid:commentId w16cid:paraId="20C586A5" w16cid:durableId="221FB868"/>
  <w16cid:commentId w16cid:paraId="43B9C6C0" w16cid:durableId="221FB895"/>
  <w16cid:commentId w16cid:paraId="0905AE1D" w16cid:durableId="221FB88B"/>
  <w16cid:commentId w16cid:paraId="22613650" w16cid:durableId="221FB8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49207" w14:textId="77777777" w:rsidR="0052683F" w:rsidRDefault="0052683F" w:rsidP="004F53E8">
      <w:pPr>
        <w:spacing w:line="240" w:lineRule="auto"/>
      </w:pPr>
      <w:r>
        <w:separator/>
      </w:r>
    </w:p>
  </w:endnote>
  <w:endnote w:type="continuationSeparator" w:id="0">
    <w:p w14:paraId="2B94E510" w14:textId="77777777" w:rsidR="0052683F" w:rsidRDefault="0052683F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CBB37" w14:textId="77777777" w:rsidR="0052683F" w:rsidRDefault="0052683F" w:rsidP="004F53E8">
      <w:pPr>
        <w:spacing w:line="240" w:lineRule="auto"/>
      </w:pPr>
      <w:r>
        <w:separator/>
      </w:r>
    </w:p>
  </w:footnote>
  <w:footnote w:type="continuationSeparator" w:id="0">
    <w:p w14:paraId="17CF7E5C" w14:textId="77777777" w:rsidR="0052683F" w:rsidRDefault="0052683F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16"/>
  </w:num>
  <w:num w:numId="15">
    <w:abstractNumId w:val="6"/>
  </w:num>
  <w:num w:numId="16">
    <w:abstractNumId w:val="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6754E"/>
    <w:rsid w:val="00071348"/>
    <w:rsid w:val="000722FB"/>
    <w:rsid w:val="000F0FC3"/>
    <w:rsid w:val="00101464"/>
    <w:rsid w:val="001022CA"/>
    <w:rsid w:val="00173AD8"/>
    <w:rsid w:val="001A59B3"/>
    <w:rsid w:val="001C6707"/>
    <w:rsid w:val="00200B53"/>
    <w:rsid w:val="00207B4B"/>
    <w:rsid w:val="0024000A"/>
    <w:rsid w:val="002456DC"/>
    <w:rsid w:val="0028263E"/>
    <w:rsid w:val="002B2124"/>
    <w:rsid w:val="002D6E92"/>
    <w:rsid w:val="003071F1"/>
    <w:rsid w:val="00326335"/>
    <w:rsid w:val="003452D0"/>
    <w:rsid w:val="00354370"/>
    <w:rsid w:val="003E0722"/>
    <w:rsid w:val="004356BC"/>
    <w:rsid w:val="004602DB"/>
    <w:rsid w:val="004F53E8"/>
    <w:rsid w:val="0052683F"/>
    <w:rsid w:val="005336DA"/>
    <w:rsid w:val="00535D2A"/>
    <w:rsid w:val="005472A2"/>
    <w:rsid w:val="005817A5"/>
    <w:rsid w:val="005C781A"/>
    <w:rsid w:val="0060650E"/>
    <w:rsid w:val="006306C8"/>
    <w:rsid w:val="006346AA"/>
    <w:rsid w:val="006B1331"/>
    <w:rsid w:val="006B62D5"/>
    <w:rsid w:val="006D3445"/>
    <w:rsid w:val="007333E6"/>
    <w:rsid w:val="00733463"/>
    <w:rsid w:val="007378A7"/>
    <w:rsid w:val="00791783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E1E84"/>
    <w:rsid w:val="008F7A67"/>
    <w:rsid w:val="00932BFF"/>
    <w:rsid w:val="00934575"/>
    <w:rsid w:val="00941CE4"/>
    <w:rsid w:val="0095292B"/>
    <w:rsid w:val="00986930"/>
    <w:rsid w:val="00997521"/>
    <w:rsid w:val="009F66D3"/>
    <w:rsid w:val="00A0155F"/>
    <w:rsid w:val="00A0777C"/>
    <w:rsid w:val="00A16DA1"/>
    <w:rsid w:val="00A30372"/>
    <w:rsid w:val="00A548FD"/>
    <w:rsid w:val="00A60B34"/>
    <w:rsid w:val="00A66F4D"/>
    <w:rsid w:val="00AB26DA"/>
    <w:rsid w:val="00AC2DA6"/>
    <w:rsid w:val="00B07E6A"/>
    <w:rsid w:val="00B730AF"/>
    <w:rsid w:val="00B92945"/>
    <w:rsid w:val="00B97B4F"/>
    <w:rsid w:val="00C04590"/>
    <w:rsid w:val="00C13983"/>
    <w:rsid w:val="00C34DEA"/>
    <w:rsid w:val="00C55DA2"/>
    <w:rsid w:val="00C65526"/>
    <w:rsid w:val="00CA2BC3"/>
    <w:rsid w:val="00CA5DD3"/>
    <w:rsid w:val="00CE6791"/>
    <w:rsid w:val="00D03D10"/>
    <w:rsid w:val="00D21731"/>
    <w:rsid w:val="00D72773"/>
    <w:rsid w:val="00D870B4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7539"/>
    <w:rsid w:val="00EE49DF"/>
    <w:rsid w:val="00F27530"/>
    <w:rsid w:val="00F307A1"/>
    <w:rsid w:val="00F71BF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3E8"/>
    <w:pPr>
      <w:outlineLvl w:val="9"/>
    </w:pPr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F53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F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3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F53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uiPriority w:val="1"/>
    <w:qFormat/>
    <w:rsid w:val="00932BFF"/>
    <w:pPr>
      <w:ind w:left="-144" w:firstLine="720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">
    <w:name w:val="мой стиль Знак"/>
    <w:link w:val="a0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75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30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s://www.autodesk.ru/autodesk-developer-network/software-platform-russian%20/develop-autoca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autodesk.ru/products/autocad/over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www.softdraft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48F6-05EC-4FDF-BB3B-6DD97A38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Алексей А. Калентьев</cp:lastModifiedBy>
  <cp:revision>81</cp:revision>
  <dcterms:created xsi:type="dcterms:W3CDTF">2020-03-12T19:19:00Z</dcterms:created>
  <dcterms:modified xsi:type="dcterms:W3CDTF">2020-03-20T14:50:00Z</dcterms:modified>
</cp:coreProperties>
</file>