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F3864"/>
          <w:sz w:val="56"/>
          <w:szCs w:val="56"/>
        </w:rPr>
        <w:t xml:space="preserve">BracketWorks</w:t>
      </w:r>
    </w:p>
    <w:p>
      <w:pPr>
        <w:spacing w:after="120"/>
      </w:pPr>
      <w:r>
        <w:rPr>
          <w:rFonts w:ascii="Arial" w:cs="Arial" w:eastAsia="Arial" w:hAnsi="Arial"/>
          <w:color w:val="2E5FA3"/>
          <w:sz w:val="36"/>
          <w:szCs w:val="36"/>
        </w:rPr>
        <w:t xml:space="preserve">Legal Documents</w:t>
      </w:r>
    </w:p>
    <w:p>
      <w:r>
        <w:t xml:space="preserve"/>
      </w:r>
    </w:p>
    <w:p>
      <w:pPr>
        <w:spacing w:after="120"/>
      </w:pPr>
      <w:r>
        <w:rPr>
          <w:rFonts w:ascii="Arial" w:cs="Arial" w:eastAsia="Arial" w:hAnsi="Arial"/>
          <w:sz w:val="22"/>
          <w:szCs w:val="22"/>
        </w:rPr>
        <w:t xml:space="preserve">This package contains:</w:t>
      </w:r>
    </w:p>
    <w:p>
      <w:pPr>
        <w:pStyle w:val="ListParagraph"/>
        <w:numPr>
          <w:ilvl w:val="0"/>
          <w:numId w:val="2"/>
        </w:numPr>
        <w:spacing w:after="80"/>
      </w:pPr>
      <w:r>
        <w:rPr>
          <w:rFonts w:ascii="Arial" w:cs="Arial" w:eastAsia="Arial" w:hAnsi="Arial"/>
          <w:sz w:val="22"/>
          <w:szCs w:val="22"/>
        </w:rPr>
        <w:t xml:space="preserve">Terms of Use</w:t>
      </w:r>
    </w:p>
    <w:p>
      <w:pPr>
        <w:pStyle w:val="ListParagraph"/>
        <w:numPr>
          <w:ilvl w:val="0"/>
          <w:numId w:val="2"/>
        </w:numPr>
        <w:spacing w:after="80"/>
      </w:pPr>
      <w:r>
        <w:rPr>
          <w:rFonts w:ascii="Arial" w:cs="Arial" w:eastAsia="Arial" w:hAnsi="Arial"/>
          <w:sz w:val="22"/>
          <w:szCs w:val="22"/>
        </w:rPr>
        <w:t xml:space="preserve">Privacy Policy</w:t>
      </w:r>
    </w:p>
    <w:p>
      <w:pPr>
        <w:pStyle w:val="ListParagraph"/>
        <w:numPr>
          <w:ilvl w:val="0"/>
          <w:numId w:val="2"/>
        </w:numPr>
        <w:spacing w:after="80"/>
      </w:pPr>
      <w:r>
        <w:rPr>
          <w:rFonts w:ascii="Arial" w:cs="Arial" w:eastAsia="Arial" w:hAnsi="Arial"/>
          <w:sz w:val="22"/>
          <w:szCs w:val="22"/>
        </w:rPr>
        <w:t xml:space="preserve">Operator License Agreement</w:t>
      </w:r>
    </w:p>
    <w:p>
      <w:r>
        <w:t xml:space="preserve"/>
      </w:r>
    </w:p>
    <w:p>
      <w:pPr>
        <w:spacing w:after="120"/>
      </w:pPr>
      <w:r>
        <w:rPr>
          <w:rFonts w:ascii="Arial" w:cs="Arial" w:eastAsia="Arial" w:hAnsi="Arial"/>
          <w:sz w:val="22"/>
          <w:szCs w:val="22"/>
        </w:rPr>
        <w:t xml:space="preserve">Document Version: 1.3</w:t>
      </w:r>
    </w:p>
    <w:p>
      <w:pPr>
        <w:spacing w:after="120"/>
      </w:pPr>
      <w:r>
        <w:rPr>
          <w:rFonts w:ascii="Arial" w:cs="Arial" w:eastAsia="Arial" w:hAnsi="Arial"/>
          <w:sz w:val="22"/>
          <w:szCs w:val="22"/>
        </w:rPr>
        <w:t xml:space="preserve">Effective Date: May 7, 2025</w:t>
      </w:r>
    </w:p>
    <w:p>
      <w:pPr>
        <w:spacing w:after="120"/>
      </w:pPr>
      <w:r>
        <w:rPr>
          <w:rFonts w:ascii="Arial" w:cs="Arial" w:eastAsia="Arial" w:hAnsi="Arial"/>
          <w:sz w:val="22"/>
          <w:szCs w:val="22"/>
        </w:rPr>
        <w:t xml:space="preserve">Last Updated: May 7, 2025</w:t>
      </w:r>
    </w:p>
    <w:p>
      <w:r>
        <w:t xml:space="preserve"/>
      </w:r>
    </w:p>
    <w:p>
      <w:pPr>
        <w:spacing w:after="120"/>
      </w:pPr>
      <w:r>
        <w:rPr>
          <w:rFonts w:ascii="Arial" w:cs="Arial" w:eastAsia="Arial" w:hAnsi="Arial"/>
          <w:b/>
          <w:bCs/>
          <w:sz w:val="22"/>
          <w:szCs w:val="22"/>
        </w:rPr>
        <w:t xml:space="preserve">Version History:</w:t>
      </w:r>
    </w:p>
    <w:p>
      <w:pPr>
        <w:pStyle w:val="ListParagraph"/>
        <w:numPr>
          <w:ilvl w:val="0"/>
          <w:numId w:val="2"/>
        </w:numPr>
        <w:spacing w:after="80"/>
      </w:pPr>
      <w:r>
        <w:rPr>
          <w:rFonts w:ascii="Arial" w:cs="Arial" w:eastAsia="Arial" w:hAnsi="Arial"/>
          <w:sz w:val="22"/>
          <w:szCs w:val="22"/>
        </w:rPr>
        <w:t xml:space="preserve">v1.0 — Initial release</w:t>
      </w:r>
    </w:p>
    <w:p>
      <w:pPr>
        <w:pStyle w:val="ListParagraph"/>
        <w:numPr>
          <w:ilvl w:val="0"/>
          <w:numId w:val="2"/>
        </w:numPr>
        <w:spacing w:after="80"/>
      </w:pPr>
      <w:r>
        <w:rPr>
          <w:rFonts w:ascii="Arial" w:cs="Arial" w:eastAsia="Arial" w:hAnsi="Arial"/>
          <w:sz w:val="22"/>
          <w:szCs w:val="22"/>
        </w:rPr>
        <w:t xml:space="preserve">v1.1 — Added subscription billing terms and state privacy law notices</w:t>
      </w:r>
    </w:p>
    <w:p>
      <w:pPr>
        <w:pStyle w:val="ListParagraph"/>
        <w:numPr>
          <w:ilvl w:val="0"/>
          <w:numId w:val="2"/>
        </w:numPr>
        <w:spacing w:after="80"/>
      </w:pPr>
      <w:r>
        <w:rPr>
          <w:rFonts w:ascii="Arial" w:cs="Arial" w:eastAsia="Arial" w:hAnsi="Arial"/>
          <w:sz w:val="22"/>
          <w:szCs w:val="22"/>
        </w:rPr>
        <w:t xml:space="preserve">v1.2 — Added gambling compliance, arbitration, account suspension, tournament dispute, export, force majeure, accessibility, feedback, and logo/reference rights clauses</w:t>
      </w:r>
    </w:p>
    <w:p>
      <w:pPr>
        <w:pStyle w:val="ListParagraph"/>
        <w:numPr>
          <w:ilvl w:val="0"/>
          <w:numId w:val="2"/>
        </w:numPr>
        <w:spacing w:after="80"/>
      </w:pPr>
      <w:r>
        <w:rPr>
          <w:rFonts w:ascii="Arial" w:cs="Arial" w:eastAsia="Arial" w:hAnsi="Arial"/>
          <w:sz w:val="22"/>
          <w:szCs w:val="22"/>
        </w:rPr>
        <w:t xml:space="preserve">v1.3 — Added cookie and analytics policy, beta/early access disclaimer, and payment processor terms</w:t>
      </w:r>
    </w:p>
    <w:p>
      <w:r>
        <w:t xml:space="preserve"/>
      </w:r>
    </w:p>
    <w:p>
      <w:pPr>
        <w:pBdr>
          <w:bottom w:val="single" w:color="2E75B6" w:sz="6" w:space="1"/>
        </w:pBdr>
        <w:spacing w:after="120"/>
      </w:pPr>
      <w:r>
        <w:rPr>
          <w:rFonts w:ascii="Arial" w:cs="Arial" w:eastAsia="Arial" w:hAnsi="Arial"/>
          <w:i/>
          <w:iCs/>
          <w:color w:val="666666"/>
          <w:sz w:val="20"/>
          <w:szCs w:val="20"/>
        </w:rPr>
        <w:t xml:space="preserve">IMPORTANT: These documents are templates for informational and starting-point purposes only. They do not constitute legal advice. You should have a qualified attorney review and customize these documents before use.</w:t>
      </w:r>
    </w:p>
    <w:p>
      <w:r>
        <w:br w:type="page"/>
      </w:r>
    </w:p>
    <w:p>
      <w:pPr>
        <w:pStyle w:val="Heading1"/>
      </w:pPr>
      <w:r>
        <w:rPr>
          <w:rFonts w:ascii="Arial" w:cs="Arial" w:eastAsia="Arial" w:hAnsi="Arial"/>
          <w:b/>
          <w:bCs/>
          <w:sz w:val="32"/>
          <w:szCs w:val="32"/>
        </w:rPr>
        <w:t xml:space="preserve">Terms of Use</w:t>
      </w:r>
    </w:p>
    <w:p>
      <w:pPr>
        <w:spacing w:after="120"/>
      </w:pPr>
      <w:r>
        <w:rPr>
          <w:rFonts w:ascii="Arial" w:cs="Arial" w:eastAsia="Arial" w:hAnsi="Arial"/>
          <w:sz w:val="22"/>
          <w:szCs w:val="22"/>
        </w:rPr>
        <w:t xml:space="preserve">Effective Date: May 7, 2025  |  Version 1.3</w:t>
      </w:r>
    </w:p>
    <w:p>
      <w:r>
        <w:t xml:space="preserve"/>
      </w:r>
    </w:p>
    <w:p>
      <w:pPr>
        <w:pStyle w:val="Heading2"/>
      </w:pPr>
      <w:r>
        <w:rPr>
          <w:rFonts w:ascii="Arial" w:cs="Arial" w:eastAsia="Arial" w:hAnsi="Arial"/>
          <w:b/>
          <w:bCs/>
          <w:sz w:val="26"/>
          <w:szCs w:val="26"/>
        </w:rPr>
        <w:t xml:space="preserve">1. Acceptance of Terms</w:t>
      </w:r>
    </w:p>
    <w:p>
      <w:pPr>
        <w:spacing w:after="120"/>
      </w:pPr>
      <w:r>
        <w:rPr>
          <w:rFonts w:ascii="Arial" w:cs="Arial" w:eastAsia="Arial" w:hAnsi="Arial"/>
          <w:sz w:val="22"/>
          <w:szCs w:val="22"/>
        </w:rPr>
        <w:t xml:space="preserve">By accessing or using the BracketWorks application ("Application"), you agree to be bound by these Terms of Use ("Terms"). If you do not agree to these Terms, do not use the Application. These Terms apply to all users of the Application, including tournament operators, administrators, and bowlers accessing the Bowler View.</w:t>
      </w:r>
    </w:p>
    <w:p>
      <w:r>
        <w:t xml:space="preserve"/>
      </w:r>
    </w:p>
    <w:p>
      <w:pPr>
        <w:pStyle w:val="Heading2"/>
      </w:pPr>
      <w:r>
        <w:rPr>
          <w:rFonts w:ascii="Arial" w:cs="Arial" w:eastAsia="Arial" w:hAnsi="Arial"/>
          <w:b/>
          <w:bCs/>
          <w:sz w:val="26"/>
          <w:szCs w:val="26"/>
        </w:rPr>
        <w:t xml:space="preserve">2. Beta and Early Access Notice</w:t>
      </w:r>
    </w:p>
    <w:p>
      <w:pPr>
        <w:pBdr>
          <w:left w:val="single" w:color="2E5FA3" w:sz="6" w:space="6"/>
        </w:pBdr>
        <w:spacing w:after="120"/>
        <w:ind w:left="360"/>
      </w:pPr>
      <w:r>
        <w:rPr>
          <w:rFonts w:ascii="Arial" w:cs="Arial" w:eastAsia="Arial" w:hAnsi="Arial"/>
          <w:i/>
          <w:iCs/>
          <w:color w:val="444444"/>
          <w:sz w:val="20"/>
          <w:szCs w:val="20"/>
        </w:rPr>
        <w:t xml:space="preserve">BracketWorks is currently in active development. Features, interfaces, and functionality may change, be added, or be removed at any time without prior notice. The Application may contain bugs, errors, or instabilities not present in a finished commercial product.</w:t>
      </w:r>
    </w:p>
    <w:p>
      <w:r>
        <w:t xml:space="preserve"/>
      </w:r>
    </w:p>
    <w:p>
      <w:pPr>
        <w:spacing w:after="120"/>
      </w:pPr>
      <w:r>
        <w:rPr>
          <w:rFonts w:ascii="Arial" w:cs="Arial" w:eastAsia="Arial" w:hAnsi="Arial"/>
          <w:sz w:val="22"/>
          <w:szCs w:val="22"/>
        </w:rPr>
        <w:t xml:space="preserve">By using BracketWorks during this early access period, you acknowledge and accept that:</w:t>
      </w:r>
    </w:p>
    <w:p>
      <w:pPr>
        <w:pStyle w:val="ListParagraph"/>
        <w:numPr>
          <w:ilvl w:val="0"/>
          <w:numId w:val="2"/>
        </w:numPr>
        <w:spacing w:after="80"/>
      </w:pPr>
      <w:r>
        <w:rPr>
          <w:rFonts w:ascii="Arial" w:cs="Arial" w:eastAsia="Arial" w:hAnsi="Arial"/>
          <w:sz w:val="22"/>
          <w:szCs w:val="22"/>
        </w:rPr>
        <w:t xml:space="preserve">The Software is provided in a pre-commercial state and may not perform as expected in all circumstances</w:t>
      </w:r>
    </w:p>
    <w:p>
      <w:pPr>
        <w:pStyle w:val="ListParagraph"/>
        <w:numPr>
          <w:ilvl w:val="0"/>
          <w:numId w:val="2"/>
        </w:numPr>
        <w:spacing w:after="80"/>
      </w:pPr>
      <w:r>
        <w:rPr>
          <w:rFonts w:ascii="Arial" w:cs="Arial" w:eastAsia="Arial" w:hAnsi="Arial"/>
          <w:sz w:val="22"/>
          <w:szCs w:val="22"/>
        </w:rPr>
        <w:t xml:space="preserve">Licensor makes no guarantee of uptime, data integrity, or feature availability during this period</w:t>
      </w:r>
    </w:p>
    <w:p>
      <w:pPr>
        <w:pStyle w:val="ListParagraph"/>
        <w:numPr>
          <w:ilvl w:val="0"/>
          <w:numId w:val="2"/>
        </w:numPr>
        <w:spacing w:after="80"/>
      </w:pPr>
      <w:r>
        <w:rPr>
          <w:rFonts w:ascii="Arial" w:cs="Arial" w:eastAsia="Arial" w:hAnsi="Arial"/>
          <w:sz w:val="22"/>
          <w:szCs w:val="22"/>
        </w:rPr>
        <w:t xml:space="preserve">Features available today may be modified, restricted, or moved to a paid tier in a future release</w:t>
      </w:r>
    </w:p>
    <w:p>
      <w:pPr>
        <w:pStyle w:val="ListParagraph"/>
        <w:numPr>
          <w:ilvl w:val="0"/>
          <w:numId w:val="2"/>
        </w:numPr>
        <w:spacing w:after="80"/>
      </w:pPr>
      <w:r>
        <w:rPr>
          <w:rFonts w:ascii="Arial" w:cs="Arial" w:eastAsia="Arial" w:hAnsi="Arial"/>
          <w:sz w:val="22"/>
          <w:szCs w:val="22"/>
        </w:rPr>
        <w:t xml:space="preserve">Your feedback and use during this period helps improve the product, and you agree that any such feedback may be used by Licensor without compensation as described in these Terms</w:t>
      </w:r>
    </w:p>
    <w:p>
      <w:r>
        <w:t xml:space="preserve"/>
      </w:r>
    </w:p>
    <w:p>
      <w:pPr>
        <w:spacing w:after="120"/>
      </w:pPr>
      <w:r>
        <w:rPr>
          <w:rFonts w:ascii="Arial" w:cs="Arial" w:eastAsia="Arial" w:hAnsi="Arial"/>
          <w:sz w:val="22"/>
          <w:szCs w:val="22"/>
        </w:rPr>
        <w:t xml:space="preserve">This notice will be removed from future versions of these Terms once BracketWorks exits its early access period.</w:t>
      </w:r>
    </w:p>
    <w:p>
      <w:r>
        <w:t xml:space="preserve"/>
      </w:r>
    </w:p>
    <w:p>
      <w:pPr>
        <w:pStyle w:val="Heading2"/>
      </w:pPr>
      <w:r>
        <w:rPr>
          <w:rFonts w:ascii="Arial" w:cs="Arial" w:eastAsia="Arial" w:hAnsi="Arial"/>
          <w:b/>
          <w:bCs/>
          <w:sz w:val="26"/>
          <w:szCs w:val="26"/>
        </w:rPr>
        <w:t xml:space="preserve">3. Description of the Application</w:t>
      </w:r>
    </w:p>
    <w:p>
      <w:pPr>
        <w:spacing w:after="120"/>
      </w:pPr>
      <w:r>
        <w:rPr>
          <w:rFonts w:ascii="Arial" w:cs="Arial" w:eastAsia="Arial" w:hAnsi="Arial"/>
          <w:sz w:val="22"/>
          <w:szCs w:val="22"/>
        </w:rPr>
        <w:t xml:space="preserve">BracketWorks is a self-hosted, locally-operated tournament bracket management application designed for bowling tournaments. It enables tournament operators and bowling center staff to:</w:t>
      </w:r>
    </w:p>
    <w:p>
      <w:pPr>
        <w:pStyle w:val="ListParagraph"/>
        <w:numPr>
          <w:ilvl w:val="0"/>
          <w:numId w:val="2"/>
        </w:numPr>
        <w:spacing w:after="80"/>
      </w:pPr>
      <w:r>
        <w:rPr>
          <w:rFonts w:ascii="Arial" w:cs="Arial" w:eastAsia="Arial" w:hAnsi="Arial"/>
          <w:sz w:val="22"/>
          <w:szCs w:val="22"/>
        </w:rPr>
        <w:t xml:space="preserve">Create and manage bowling tournaments with configurable bracket types, entry fees, and prize structures</w:t>
      </w:r>
    </w:p>
    <w:p>
      <w:pPr>
        <w:pStyle w:val="ListParagraph"/>
        <w:numPr>
          <w:ilvl w:val="0"/>
          <w:numId w:val="2"/>
        </w:numPr>
        <w:spacing w:after="80"/>
      </w:pPr>
      <w:r>
        <w:rPr>
          <w:rFonts w:ascii="Arial" w:cs="Arial" w:eastAsia="Arial" w:hAnsi="Arial"/>
          <w:sz w:val="22"/>
          <w:szCs w:val="22"/>
        </w:rPr>
        <w:t xml:space="preserve">Register bowlers and assign them to squads</w:t>
      </w:r>
    </w:p>
    <w:p>
      <w:pPr>
        <w:pStyle w:val="ListParagraph"/>
        <w:numPr>
          <w:ilvl w:val="0"/>
          <w:numId w:val="2"/>
        </w:numPr>
        <w:spacing w:after="80"/>
      </w:pPr>
      <w:r>
        <w:rPr>
          <w:rFonts w:ascii="Arial" w:cs="Arial" w:eastAsia="Arial" w:hAnsi="Arial"/>
          <w:sz w:val="22"/>
          <w:szCs w:val="22"/>
        </w:rPr>
        <w:t xml:space="preserve">Generate and run brackets with automated seeding and real-time score entry</w:t>
      </w:r>
    </w:p>
    <w:p>
      <w:pPr>
        <w:pStyle w:val="ListParagraph"/>
        <w:numPr>
          <w:ilvl w:val="0"/>
          <w:numId w:val="2"/>
        </w:numPr>
        <w:spacing w:after="80"/>
      </w:pPr>
      <w:r>
        <w:rPr>
          <w:rFonts w:ascii="Arial" w:cs="Arial" w:eastAsia="Arial" w:hAnsi="Arial"/>
          <w:sz w:val="22"/>
          <w:szCs w:val="22"/>
        </w:rPr>
        <w:t xml:space="preserve">Calculate and distribute payouts, including side pots</w:t>
      </w:r>
    </w:p>
    <w:p>
      <w:pPr>
        <w:pStyle w:val="ListParagraph"/>
        <w:numPr>
          <w:ilvl w:val="0"/>
          <w:numId w:val="2"/>
        </w:numPr>
        <w:spacing w:after="80"/>
      </w:pPr>
      <w:r>
        <w:rPr>
          <w:rFonts w:ascii="Arial" w:cs="Arial" w:eastAsia="Arial" w:hAnsi="Arial"/>
          <w:sz w:val="22"/>
          <w:szCs w:val="22"/>
        </w:rPr>
        <w:t xml:space="preserve">Generate tournament reports and financial summaries</w:t>
      </w:r>
    </w:p>
    <w:p>
      <w:r>
        <w:t xml:space="preserve"/>
      </w:r>
    </w:p>
    <w:p>
      <w:pPr>
        <w:spacing w:after="120"/>
      </w:pPr>
      <w:r>
        <w:rPr>
          <w:rFonts w:ascii="Arial" w:cs="Arial" w:eastAsia="Arial" w:hAnsi="Arial"/>
          <w:sz w:val="22"/>
          <w:szCs w:val="22"/>
        </w:rPr>
        <w:t xml:space="preserve">The Application is accessed via web browser as a Progressive Web App (PWA) and is deployed on infrastructure controlled by the operator.</w:t>
      </w:r>
    </w:p>
    <w:p>
      <w:r>
        <w:t xml:space="preserve"/>
      </w:r>
    </w:p>
    <w:p>
      <w:pPr>
        <w:pStyle w:val="Heading2"/>
      </w:pPr>
      <w:r>
        <w:rPr>
          <w:rFonts w:ascii="Arial" w:cs="Arial" w:eastAsia="Arial" w:hAnsi="Arial"/>
          <w:b/>
          <w:bCs/>
          <w:sz w:val="26"/>
          <w:szCs w:val="26"/>
        </w:rPr>
        <w:t xml:space="preserve">4. User Roles and Access</w:t>
      </w:r>
    </w:p>
    <w:p>
      <w:pPr>
        <w:spacing w:after="60"/>
      </w:pPr>
      <w:r>
        <w:rPr>
          <w:rFonts w:ascii="Arial" w:cs="Arial" w:eastAsia="Arial" w:hAnsi="Arial"/>
          <w:b/>
          <w:bCs/>
          <w:sz w:val="22"/>
          <w:szCs w:val="22"/>
        </w:rPr>
        <w:t xml:space="preserve">4.1 Operators and Administrators</w:t>
      </w:r>
    </w:p>
    <w:p>
      <w:pPr>
        <w:spacing w:after="120"/>
      </w:pPr>
      <w:r>
        <w:rPr>
          <w:rFonts w:ascii="Arial" w:cs="Arial" w:eastAsia="Arial" w:hAnsi="Arial"/>
          <w:sz w:val="22"/>
          <w:szCs w:val="22"/>
        </w:rPr>
        <w:t xml:space="preserve">Operator and administrator accounts have full access to tournament management features. Operators are responsible for the accuracy of all data entered, including bowler names, scores, entry fees, and payout distributions. Operators must ensure they have appropriate authorization before entering any bowler's personal information.</w:t>
      </w:r>
    </w:p>
    <w:p>
      <w:r>
        <w:t xml:space="preserve"/>
      </w:r>
    </w:p>
    <w:p>
      <w:pPr>
        <w:spacing w:after="60"/>
      </w:pPr>
      <w:r>
        <w:rPr>
          <w:rFonts w:ascii="Arial" w:cs="Arial" w:eastAsia="Arial" w:hAnsi="Arial"/>
          <w:b/>
          <w:bCs/>
          <w:sz w:val="22"/>
          <w:szCs w:val="22"/>
        </w:rPr>
        <w:t xml:space="preserve">4.2 Bowler View</w:t>
      </w:r>
    </w:p>
    <w:p>
      <w:pPr>
        <w:spacing w:after="120"/>
      </w:pPr>
      <w:r>
        <w:rPr>
          <w:rFonts w:ascii="Arial" w:cs="Arial" w:eastAsia="Arial" w:hAnsi="Arial"/>
          <w:sz w:val="22"/>
          <w:szCs w:val="22"/>
        </w:rPr>
        <w:t xml:space="preserve">Bowlers may access a read-only view of tournament brackets, scores, and results. No account registration is required for Bowler View access. Bowlers acknowledge that scores and results are entered by tournament operators and may be subject to correction.</w:t>
      </w:r>
    </w:p>
    <w:p>
      <w:r>
        <w:t xml:space="preserve"/>
      </w:r>
    </w:p>
    <w:p>
      <w:pPr>
        <w:pStyle w:val="Heading2"/>
      </w:pPr>
      <w:r>
        <w:rPr>
          <w:rFonts w:ascii="Arial" w:cs="Arial" w:eastAsia="Arial" w:hAnsi="Arial"/>
          <w:b/>
          <w:bCs/>
          <w:sz w:val="26"/>
          <w:szCs w:val="26"/>
        </w:rPr>
        <w:t xml:space="preserve">5. User Accounts</w:t>
      </w:r>
    </w:p>
    <w:p>
      <w:pPr>
        <w:spacing w:after="120"/>
      </w:pPr>
      <w:r>
        <w:rPr>
          <w:rFonts w:ascii="Arial" w:cs="Arial" w:eastAsia="Arial" w:hAnsi="Arial"/>
          <w:sz w:val="22"/>
          <w:szCs w:val="22"/>
        </w:rPr>
        <w:t xml:space="preserve">Accounts with administrative access are created and managed by the system operator. You are responsible for maintaining the confidentiality of your login credentials and for all activity that occurs under your account. You must notify the system operator immediately if you suspect unauthorized use of your account. You may not share your account credentials with others or allow others to access your account.</w:t>
      </w:r>
    </w:p>
    <w:p>
      <w:r>
        <w:t xml:space="preserve"/>
      </w:r>
    </w:p>
    <w:p>
      <w:pPr>
        <w:pStyle w:val="Heading2"/>
      </w:pPr>
      <w:r>
        <w:rPr>
          <w:rFonts w:ascii="Arial" w:cs="Arial" w:eastAsia="Arial" w:hAnsi="Arial"/>
          <w:b/>
          <w:bCs/>
          <w:sz w:val="26"/>
          <w:szCs w:val="26"/>
        </w:rPr>
        <w:t xml:space="preserve">6. Acceptable Use and Tournament Integrity</w:t>
      </w:r>
    </w:p>
    <w:p>
      <w:pPr>
        <w:spacing w:after="120"/>
      </w:pPr>
      <w:r>
        <w:rPr>
          <w:rFonts w:ascii="Arial" w:cs="Arial" w:eastAsia="Arial" w:hAnsi="Arial"/>
          <w:sz w:val="22"/>
          <w:szCs w:val="22"/>
        </w:rPr>
        <w:t xml:space="preserve">You agree to use the Application only for lawful purposes and in accordance with these Terms. You agree not to:</w:t>
      </w:r>
    </w:p>
    <w:p>
      <w:pPr>
        <w:pStyle w:val="ListParagraph"/>
        <w:numPr>
          <w:ilvl w:val="0"/>
          <w:numId w:val="2"/>
        </w:numPr>
        <w:spacing w:after="80"/>
      </w:pPr>
      <w:r>
        <w:rPr>
          <w:rFonts w:ascii="Arial" w:cs="Arial" w:eastAsia="Arial" w:hAnsi="Arial"/>
          <w:sz w:val="22"/>
          <w:szCs w:val="22"/>
        </w:rPr>
        <w:t xml:space="preserve">Enter false, inaccurate, or misleading bowler information, scores, or financial data</w:t>
      </w:r>
    </w:p>
    <w:p>
      <w:pPr>
        <w:pStyle w:val="ListParagraph"/>
        <w:numPr>
          <w:ilvl w:val="0"/>
          <w:numId w:val="2"/>
        </w:numPr>
        <w:spacing w:after="80"/>
      </w:pPr>
      <w:r>
        <w:rPr>
          <w:rFonts w:ascii="Arial" w:cs="Arial" w:eastAsia="Arial" w:hAnsi="Arial"/>
          <w:sz w:val="22"/>
          <w:szCs w:val="22"/>
        </w:rPr>
        <w:t xml:space="preserve">Manipulate bracket results, seedings, payout calculations, or bracket advancement in a manner inconsistent with actual tournament outcomes</w:t>
      </w:r>
    </w:p>
    <w:p>
      <w:pPr>
        <w:pStyle w:val="ListParagraph"/>
        <w:numPr>
          <w:ilvl w:val="0"/>
          <w:numId w:val="2"/>
        </w:numPr>
        <w:spacing w:after="80"/>
      </w:pPr>
      <w:r>
        <w:rPr>
          <w:rFonts w:ascii="Arial" w:cs="Arial" w:eastAsia="Arial" w:hAnsi="Arial"/>
          <w:sz w:val="22"/>
          <w:szCs w:val="22"/>
        </w:rPr>
        <w:t xml:space="preserve">Engage in or facilitate collusion between bowlers, operators, or any other parties to predetermine or manipulate tournament results or payouts</w:t>
      </w:r>
    </w:p>
    <w:p>
      <w:pPr>
        <w:pStyle w:val="ListParagraph"/>
        <w:numPr>
          <w:ilvl w:val="0"/>
          <w:numId w:val="2"/>
        </w:numPr>
        <w:spacing w:after="80"/>
      </w:pPr>
      <w:r>
        <w:rPr>
          <w:rFonts w:ascii="Arial" w:cs="Arial" w:eastAsia="Arial" w:hAnsi="Arial"/>
          <w:sz w:val="22"/>
          <w:szCs w:val="22"/>
        </w:rPr>
        <w:t xml:space="preserve">Operate a tournament that has been pre-arranged or whose results are not determined by bona fide competition</w:t>
      </w:r>
    </w:p>
    <w:p>
      <w:pPr>
        <w:pStyle w:val="ListParagraph"/>
        <w:numPr>
          <w:ilvl w:val="0"/>
          <w:numId w:val="2"/>
        </w:numPr>
        <w:spacing w:after="80"/>
      </w:pPr>
      <w:r>
        <w:rPr>
          <w:rFonts w:ascii="Arial" w:cs="Arial" w:eastAsia="Arial" w:hAnsi="Arial"/>
          <w:sz w:val="22"/>
          <w:szCs w:val="22"/>
        </w:rPr>
        <w:t xml:space="preserve">Attempt to gain unauthorized access to any part of the Application or underlying systems</w:t>
      </w:r>
    </w:p>
    <w:p>
      <w:pPr>
        <w:pStyle w:val="ListParagraph"/>
        <w:numPr>
          <w:ilvl w:val="0"/>
          <w:numId w:val="2"/>
        </w:numPr>
        <w:spacing w:after="80"/>
      </w:pPr>
      <w:r>
        <w:rPr>
          <w:rFonts w:ascii="Arial" w:cs="Arial" w:eastAsia="Arial" w:hAnsi="Arial"/>
          <w:sz w:val="22"/>
          <w:szCs w:val="22"/>
        </w:rPr>
        <w:t xml:space="preserve">Use the Application in a manner that could damage, disable, or impair the Application or interfere with other users</w:t>
      </w:r>
    </w:p>
    <w:p>
      <w:pPr>
        <w:pStyle w:val="ListParagraph"/>
        <w:numPr>
          <w:ilvl w:val="0"/>
          <w:numId w:val="2"/>
        </w:numPr>
        <w:spacing w:after="80"/>
      </w:pPr>
      <w:r>
        <w:rPr>
          <w:rFonts w:ascii="Arial" w:cs="Arial" w:eastAsia="Arial" w:hAnsi="Arial"/>
          <w:sz w:val="22"/>
          <w:szCs w:val="22"/>
        </w:rPr>
        <w:t xml:space="preserve">Reverse engineer, decompile, or attempt to extract the source code of the Application</w:t>
      </w:r>
    </w:p>
    <w:p>
      <w:pPr>
        <w:pStyle w:val="ListParagraph"/>
        <w:numPr>
          <w:ilvl w:val="0"/>
          <w:numId w:val="2"/>
        </w:numPr>
        <w:spacing w:after="80"/>
      </w:pPr>
      <w:r>
        <w:rPr>
          <w:rFonts w:ascii="Arial" w:cs="Arial" w:eastAsia="Arial" w:hAnsi="Arial"/>
          <w:sz w:val="22"/>
          <w:szCs w:val="22"/>
        </w:rPr>
        <w:t xml:space="preserve">Use the Application in violation of any applicable federal, state, or local laws or regulations</w:t>
      </w:r>
    </w:p>
    <w:p>
      <w:r>
        <w:t xml:space="preserve"/>
      </w:r>
    </w:p>
    <w:p>
      <w:pPr>
        <w:pStyle w:val="Heading2"/>
      </w:pPr>
      <w:r>
        <w:rPr>
          <w:rFonts w:ascii="Arial" w:cs="Arial" w:eastAsia="Arial" w:hAnsi="Arial"/>
          <w:b/>
          <w:bCs/>
          <w:sz w:val="26"/>
          <w:szCs w:val="26"/>
        </w:rPr>
        <w:t xml:space="preserve">7. Account Suspension and Termination</w:t>
      </w:r>
    </w:p>
    <w:p>
      <w:pPr>
        <w:spacing w:after="120"/>
      </w:pPr>
      <w:r>
        <w:rPr>
          <w:rFonts w:ascii="Arial" w:cs="Arial" w:eastAsia="Arial" w:hAnsi="Arial"/>
          <w:sz w:val="22"/>
          <w:szCs w:val="22"/>
        </w:rPr>
        <w:t xml:space="preserve">The developer or licensor reserves the right to suspend or terminate any operator account, with or without prior notice, in any of the following circumstances:</w:t>
      </w:r>
    </w:p>
    <w:p>
      <w:pPr>
        <w:pStyle w:val="ListParagraph"/>
        <w:numPr>
          <w:ilvl w:val="0"/>
          <w:numId w:val="2"/>
        </w:numPr>
        <w:spacing w:after="80"/>
      </w:pPr>
      <w:r>
        <w:rPr>
          <w:rFonts w:ascii="Arial" w:cs="Arial" w:eastAsia="Arial" w:hAnsi="Arial"/>
          <w:sz w:val="22"/>
          <w:szCs w:val="22"/>
        </w:rPr>
        <w:t xml:space="preserve">Non-payment or failure to maintain a current subscription</w:t>
      </w:r>
    </w:p>
    <w:p>
      <w:pPr>
        <w:pStyle w:val="ListParagraph"/>
        <w:numPr>
          <w:ilvl w:val="0"/>
          <w:numId w:val="2"/>
        </w:numPr>
        <w:spacing w:after="80"/>
      </w:pPr>
      <w:r>
        <w:rPr>
          <w:rFonts w:ascii="Arial" w:cs="Arial" w:eastAsia="Arial" w:hAnsi="Arial"/>
          <w:sz w:val="22"/>
          <w:szCs w:val="22"/>
        </w:rPr>
        <w:t xml:space="preserve">Violation of these Terms, including but not limited to misuse of the Application, tournament fraud, or score manipulation</w:t>
      </w:r>
    </w:p>
    <w:p>
      <w:pPr>
        <w:pStyle w:val="ListParagraph"/>
        <w:numPr>
          <w:ilvl w:val="0"/>
          <w:numId w:val="2"/>
        </w:numPr>
        <w:spacing w:after="80"/>
      </w:pPr>
      <w:r>
        <w:rPr>
          <w:rFonts w:ascii="Arial" w:cs="Arial" w:eastAsia="Arial" w:hAnsi="Arial"/>
          <w:sz w:val="22"/>
          <w:szCs w:val="22"/>
        </w:rPr>
        <w:t xml:space="preserve">Use of the Application in connection with illegal activity, including unlawful gambling</w:t>
      </w:r>
    </w:p>
    <w:p>
      <w:pPr>
        <w:pStyle w:val="ListParagraph"/>
        <w:numPr>
          <w:ilvl w:val="0"/>
          <w:numId w:val="2"/>
        </w:numPr>
        <w:spacing w:after="80"/>
      </w:pPr>
      <w:r>
        <w:rPr>
          <w:rFonts w:ascii="Arial" w:cs="Arial" w:eastAsia="Arial" w:hAnsi="Arial"/>
          <w:sz w:val="22"/>
          <w:szCs w:val="22"/>
        </w:rPr>
        <w:t xml:space="preserve">Conduct that poses a risk of legal liability to the developer or licensor</w:t>
      </w:r>
    </w:p>
    <w:p>
      <w:pPr>
        <w:pStyle w:val="ListParagraph"/>
        <w:numPr>
          <w:ilvl w:val="0"/>
          <w:numId w:val="2"/>
        </w:numPr>
        <w:spacing w:after="80"/>
      </w:pPr>
      <w:r>
        <w:rPr>
          <w:rFonts w:ascii="Arial" w:cs="Arial" w:eastAsia="Arial" w:hAnsi="Arial"/>
          <w:sz w:val="22"/>
          <w:szCs w:val="22"/>
        </w:rPr>
        <w:t xml:space="preserve">Upon request by law enforcement or other government authority</w:t>
      </w:r>
    </w:p>
    <w:p>
      <w:r>
        <w:t xml:space="preserve"/>
      </w:r>
    </w:p>
    <w:p>
      <w:pPr>
        <w:spacing w:after="120"/>
      </w:pPr>
      <w:r>
        <w:rPr>
          <w:rFonts w:ascii="Arial" w:cs="Arial" w:eastAsia="Arial" w:hAnsi="Arial"/>
          <w:sz w:val="22"/>
          <w:szCs w:val="22"/>
        </w:rPr>
        <w:t xml:space="preserve">Suspension or termination does not entitle Operator to any refund of subscription fees. Following termination, Operator's data will remain in their own self-hosted installation and will not be deleted by Licensor, but access to the Application software will be revoked.</w:t>
      </w:r>
    </w:p>
    <w:p>
      <w:r>
        <w:t xml:space="preserve"/>
      </w:r>
    </w:p>
    <w:p>
      <w:pPr>
        <w:pStyle w:val="Heading2"/>
      </w:pPr>
      <w:r>
        <w:rPr>
          <w:rFonts w:ascii="Arial" w:cs="Arial" w:eastAsia="Arial" w:hAnsi="Arial"/>
          <w:b/>
          <w:bCs/>
          <w:sz w:val="26"/>
          <w:szCs w:val="26"/>
        </w:rPr>
        <w:t xml:space="preserve">8. Financial Transactions and Payouts</w:t>
      </w:r>
    </w:p>
    <w:p>
      <w:pPr>
        <w:spacing w:after="120"/>
      </w:pPr>
      <w:r>
        <w:rPr>
          <w:rFonts w:ascii="Arial" w:cs="Arial" w:eastAsia="Arial" w:hAnsi="Arial"/>
          <w:sz w:val="22"/>
          <w:szCs w:val="22"/>
        </w:rPr>
        <w:t xml:space="preserve">BracketWorks calculates payout amounts based on operator-configured prize structures and bracket results. The Application is a calculation and management tool only. The operator is solely responsible for the actual collection of entry fees, physical or electronic disbursement of prizes, compliance with applicable gambling, sweepstakes, and prize-distribution laws, and accurate reporting of financial activity as required by law.</w:t>
      </w:r>
    </w:p>
    <w:p>
      <w:r>
        <w:t xml:space="preserve"/>
      </w:r>
    </w:p>
    <w:p>
      <w:pPr>
        <w:spacing w:after="120"/>
      </w:pPr>
      <w:r>
        <w:rPr>
          <w:rFonts w:ascii="Arial" w:cs="Arial" w:eastAsia="Arial" w:hAnsi="Arial"/>
          <w:sz w:val="22"/>
          <w:szCs w:val="22"/>
        </w:rPr>
        <w:t xml:space="preserve">BracketWorks makes no warranties regarding the accuracy of payout calculations for any specific tournament configuration. Operators should verify all calculations before distributing prizes.</w:t>
      </w:r>
    </w:p>
    <w:p>
      <w:r>
        <w:t xml:space="preserve"/>
      </w:r>
    </w:p>
    <w:p>
      <w:pPr>
        <w:pStyle w:val="Heading2"/>
      </w:pPr>
      <w:r>
        <w:rPr>
          <w:rFonts w:ascii="Arial" w:cs="Arial" w:eastAsia="Arial" w:hAnsi="Arial"/>
          <w:b/>
          <w:bCs/>
          <w:sz w:val="26"/>
          <w:szCs w:val="26"/>
        </w:rPr>
        <w:t xml:space="preserve">9. Tournament Disputes</w:t>
      </w:r>
    </w:p>
    <w:p>
      <w:pPr>
        <w:spacing w:after="120"/>
      </w:pPr>
      <w:r>
        <w:rPr>
          <w:rFonts w:ascii="Arial" w:cs="Arial" w:eastAsia="Arial" w:hAnsi="Arial"/>
          <w:sz w:val="22"/>
          <w:szCs w:val="22"/>
        </w:rPr>
        <w:t xml:space="preserve">BracketWorks is a software tool that records and displays data entered by tournament operators. All disputes regarding tournament results, scores, bracket outcomes, seedings, or payout amounts are exclusively between the bowler and the tournament operator. The developer and licensor of BracketWorks:</w:t>
      </w:r>
    </w:p>
    <w:p>
      <w:pPr>
        <w:pStyle w:val="ListParagraph"/>
        <w:numPr>
          <w:ilvl w:val="0"/>
          <w:numId w:val="2"/>
        </w:numPr>
        <w:spacing w:after="80"/>
      </w:pPr>
      <w:r>
        <w:rPr>
          <w:rFonts w:ascii="Arial" w:cs="Arial" w:eastAsia="Arial" w:hAnsi="Arial"/>
          <w:sz w:val="22"/>
          <w:szCs w:val="22"/>
        </w:rPr>
        <w:t xml:space="preserve">Are not a party to any tournament and have no authority to adjudicate or resolve tournament disputes</w:t>
      </w:r>
    </w:p>
    <w:p>
      <w:pPr>
        <w:pStyle w:val="ListParagraph"/>
        <w:numPr>
          <w:ilvl w:val="0"/>
          <w:numId w:val="2"/>
        </w:numPr>
        <w:spacing w:after="80"/>
      </w:pPr>
      <w:r>
        <w:rPr>
          <w:rFonts w:ascii="Arial" w:cs="Arial" w:eastAsia="Arial" w:hAnsi="Arial"/>
          <w:sz w:val="22"/>
          <w:szCs w:val="22"/>
        </w:rPr>
        <w:t xml:space="preserve">Make no representation that scores, results, or payouts displayed in the Application are accurate or final</w:t>
      </w:r>
    </w:p>
    <w:p>
      <w:pPr>
        <w:pStyle w:val="ListParagraph"/>
        <w:numPr>
          <w:ilvl w:val="0"/>
          <w:numId w:val="2"/>
        </w:numPr>
        <w:spacing w:after="80"/>
      </w:pPr>
      <w:r>
        <w:rPr>
          <w:rFonts w:ascii="Arial" w:cs="Arial" w:eastAsia="Arial" w:hAnsi="Arial"/>
          <w:sz w:val="22"/>
          <w:szCs w:val="22"/>
        </w:rPr>
        <w:t xml:space="preserve">Shall have no liability whatsoever to any bowler or participant for any disputed score, result, payout, or tournament outcome</w:t>
      </w:r>
    </w:p>
    <w:p>
      <w:r>
        <w:t xml:space="preserve"/>
      </w:r>
    </w:p>
    <w:p>
      <w:pPr>
        <w:spacing w:after="120"/>
      </w:pPr>
      <w:r>
        <w:rPr>
          <w:rFonts w:ascii="Arial" w:cs="Arial" w:eastAsia="Arial" w:hAnsi="Arial"/>
          <w:sz w:val="22"/>
          <w:szCs w:val="22"/>
        </w:rPr>
        <w:t xml:space="preserve">Bowlers with disputes must contact the tournament operator directly. Operators are solely responsible for establishing and communicating their dispute resolution procedures to participants.</w:t>
      </w:r>
    </w:p>
    <w:p>
      <w:r>
        <w:t xml:space="preserve"/>
      </w:r>
    </w:p>
    <w:p>
      <w:pPr>
        <w:pStyle w:val="Heading2"/>
      </w:pPr>
      <w:r>
        <w:rPr>
          <w:rFonts w:ascii="Arial" w:cs="Arial" w:eastAsia="Arial" w:hAnsi="Arial"/>
          <w:b/>
          <w:bCs/>
          <w:sz w:val="26"/>
          <w:szCs w:val="26"/>
        </w:rPr>
        <w:t xml:space="preserve">10. Gambling and Gaming Law Compliance</w:t>
      </w:r>
    </w:p>
    <w:p>
      <w:pPr>
        <w:pBdr>
          <w:left w:val="single" w:color="2E5FA3" w:sz="6" w:space="6"/>
        </w:pBdr>
        <w:spacing w:after="120"/>
        <w:ind w:left="360"/>
      </w:pPr>
      <w:r>
        <w:rPr>
          <w:rFonts w:ascii="Arial" w:cs="Arial" w:eastAsia="Arial" w:hAnsi="Arial"/>
          <w:i/>
          <w:iCs/>
          <w:color w:val="444444"/>
          <w:sz w:val="20"/>
          <w:szCs w:val="20"/>
        </w:rPr>
        <w:t xml:space="preserve">IMPORTANT: Bowling bracket tournaments that involve entry fees and cash or prize payouts may be subject to federal, state, or local gambling, gaming, or prize-contest laws. The legality of any specific tournament format varies by jurisdiction. BracketWorks is a software tool only and takes no position on the lawfulness of any tournament operated through the Application.</w:t>
      </w:r>
    </w:p>
    <w:p>
      <w:r>
        <w:t xml:space="preserve"/>
      </w:r>
    </w:p>
    <w:p>
      <w:pPr>
        <w:spacing w:after="120"/>
      </w:pPr>
      <w:r>
        <w:rPr>
          <w:rFonts w:ascii="Arial" w:cs="Arial" w:eastAsia="Arial" w:hAnsi="Arial"/>
          <w:sz w:val="22"/>
          <w:szCs w:val="22"/>
        </w:rPr>
        <w:t xml:space="preserve">By using BracketWorks to operate any tournament involving entry fees or prize payouts, you represent and warrant that:</w:t>
      </w:r>
    </w:p>
    <w:p>
      <w:pPr>
        <w:pStyle w:val="ListParagraph"/>
        <w:numPr>
          <w:ilvl w:val="0"/>
          <w:numId w:val="2"/>
        </w:numPr>
        <w:spacing w:after="80"/>
      </w:pPr>
      <w:r>
        <w:rPr>
          <w:rFonts w:ascii="Arial" w:cs="Arial" w:eastAsia="Arial" w:hAnsi="Arial"/>
          <w:sz w:val="22"/>
          <w:szCs w:val="22"/>
        </w:rPr>
        <w:t xml:space="preserve">You have independently determined that your tournament format and prize structure are lawful under all applicable federal, state, and local laws in the jurisdiction(s) where you operate</w:t>
      </w:r>
    </w:p>
    <w:p>
      <w:pPr>
        <w:pStyle w:val="ListParagraph"/>
        <w:numPr>
          <w:ilvl w:val="0"/>
          <w:numId w:val="2"/>
        </w:numPr>
        <w:spacing w:after="80"/>
      </w:pPr>
      <w:r>
        <w:rPr>
          <w:rFonts w:ascii="Arial" w:cs="Arial" w:eastAsia="Arial" w:hAnsi="Arial"/>
          <w:sz w:val="22"/>
          <w:szCs w:val="22"/>
        </w:rPr>
        <w:t xml:space="preserve">You have obtained all required permits, licenses, or approvals, if any, for operating prize contests or tournaments in your jurisdiction</w:t>
      </w:r>
    </w:p>
    <w:p>
      <w:pPr>
        <w:pStyle w:val="ListParagraph"/>
        <w:numPr>
          <w:ilvl w:val="0"/>
          <w:numId w:val="2"/>
        </w:numPr>
        <w:spacing w:after="80"/>
      </w:pPr>
      <w:r>
        <w:rPr>
          <w:rFonts w:ascii="Arial" w:cs="Arial" w:eastAsia="Arial" w:hAnsi="Arial"/>
          <w:sz w:val="22"/>
          <w:szCs w:val="22"/>
        </w:rPr>
        <w:t xml:space="preserve">You will not use the Application to facilitate any activity that constitutes illegal gambling under applicable law</w:t>
      </w:r>
    </w:p>
    <w:p>
      <w:r>
        <w:t xml:space="preserve"/>
      </w:r>
    </w:p>
    <w:p>
      <w:pPr>
        <w:spacing w:after="120"/>
      </w:pPr>
      <w:r>
        <w:rPr>
          <w:rFonts w:ascii="Arial" w:cs="Arial" w:eastAsia="Arial" w:hAnsi="Arial"/>
          <w:sz w:val="22"/>
          <w:szCs w:val="22"/>
        </w:rPr>
        <w:t xml:space="preserve">Operators in states with historically strict gaming laws — including but not limited to Nevada, Utah, Hawaii, Alabama, and Tennessee — are strongly encouraged to obtain legal counsel before operating any entry-fee tournament with cash prizes. This list is not exhaustive. Laws vary and change; operators in all states should verify current requirements.</w:t>
      </w:r>
    </w:p>
    <w:p>
      <w:r>
        <w:t xml:space="preserve"/>
      </w:r>
    </w:p>
    <w:p>
      <w:pPr>
        <w:spacing w:after="120"/>
      </w:pPr>
      <w:r>
        <w:rPr>
          <w:rFonts w:ascii="Arial" w:cs="Arial" w:eastAsia="Arial" w:hAnsi="Arial"/>
          <w:sz w:val="22"/>
          <w:szCs w:val="22"/>
        </w:rPr>
        <w:t xml:space="preserve">BracketWorks and its developer expressly disclaim all liability for any fines, penalties, legal costs, or other consequences arising from an operator's failure to comply with applicable gambling or gaming laws.</w:t>
      </w:r>
    </w:p>
    <w:p>
      <w:r>
        <w:t xml:space="preserve"/>
      </w:r>
    </w:p>
    <w:p>
      <w:pPr>
        <w:pStyle w:val="Heading2"/>
      </w:pPr>
      <w:r>
        <w:rPr>
          <w:rFonts w:ascii="Arial" w:cs="Arial" w:eastAsia="Arial" w:hAnsi="Arial"/>
          <w:b/>
          <w:bCs/>
          <w:sz w:val="26"/>
          <w:szCs w:val="26"/>
        </w:rPr>
        <w:t xml:space="preserve">11. Subscription Access</w:t>
      </w:r>
    </w:p>
    <w:p>
      <w:pPr>
        <w:spacing w:after="120"/>
      </w:pPr>
      <w:r>
        <w:rPr>
          <w:rFonts w:ascii="Arial" w:cs="Arial" w:eastAsia="Arial" w:hAnsi="Arial"/>
          <w:sz w:val="22"/>
          <w:szCs w:val="22"/>
        </w:rPr>
        <w:t xml:space="preserve">Access to BracketWorks requires an active subscription license. Subscriptions are available on a monthly or annual basis. Access to the Application is contingent on maintaining a current, paid subscription. If a subscription lapses, expires, or is cancelled, access to the Application will be suspended immediately without further notice. No refunds will be issued for any unused portion of a subscription period, including in the event of cancellation, termination, or early discontinuation.</w:t>
      </w:r>
    </w:p>
    <w:p>
      <w:r>
        <w:t xml:space="preserve"/>
      </w:r>
    </w:p>
    <w:p>
      <w:pPr>
        <w:spacing w:after="120"/>
      </w:pPr>
      <w:r>
        <w:rPr>
          <w:rFonts w:ascii="Arial" w:cs="Arial" w:eastAsia="Arial" w:hAnsi="Arial"/>
          <w:sz w:val="22"/>
          <w:szCs w:val="22"/>
        </w:rPr>
        <w:t xml:space="preserve">Subscription fees and available plans are as set forth in the applicable order or pricing documentation at the time of purchase. Licensor reserves the right to modify subscription pricing with at least thirty (30) days' prior written notice. Continued use of the Application after a price change takes effect constitutes acceptance of the new pricing.</w:t>
      </w:r>
    </w:p>
    <w:p>
      <w:r>
        <w:t xml:space="preserve"/>
      </w:r>
    </w:p>
    <w:p>
      <w:pPr>
        <w:pStyle w:val="Heading2"/>
      </w:pPr>
      <w:r>
        <w:rPr>
          <w:rFonts w:ascii="Arial" w:cs="Arial" w:eastAsia="Arial" w:hAnsi="Arial"/>
          <w:b/>
          <w:bCs/>
          <w:sz w:val="26"/>
          <w:szCs w:val="26"/>
        </w:rPr>
        <w:t xml:space="preserve">12. Geographic Scope and Export Restrictions</w:t>
      </w:r>
    </w:p>
    <w:p>
      <w:pPr>
        <w:spacing w:after="120"/>
      </w:pPr>
      <w:r>
        <w:rPr>
          <w:rFonts w:ascii="Arial" w:cs="Arial" w:eastAsia="Arial" w:hAnsi="Arial"/>
          <w:sz w:val="22"/>
          <w:szCs w:val="22"/>
        </w:rPr>
        <w:t xml:space="preserve">BracketWorks is intended for use within the United States only. The Application is not warranted or supported for use outside the United States. Operator may not export, re-export, or transfer the Software or any related technology to any country, individual, or entity in violation of U.S. export control laws, including the Export Administration Regulations (EAR) and sanctions administered by the Office of Foreign Assets Control (OFAC).</w:t>
      </w:r>
    </w:p>
    <w:p>
      <w:r>
        <w:t xml:space="preserve"/>
      </w:r>
    </w:p>
    <w:p>
      <w:pPr>
        <w:pStyle w:val="Heading2"/>
      </w:pPr>
      <w:r>
        <w:rPr>
          <w:rFonts w:ascii="Arial" w:cs="Arial" w:eastAsia="Arial" w:hAnsi="Arial"/>
          <w:b/>
          <w:bCs/>
          <w:sz w:val="26"/>
          <w:szCs w:val="26"/>
        </w:rPr>
        <w:t xml:space="preserve">13. Accessibility</w:t>
      </w:r>
    </w:p>
    <w:p>
      <w:pPr>
        <w:spacing w:after="120"/>
      </w:pPr>
      <w:r>
        <w:rPr>
          <w:rFonts w:ascii="Arial" w:cs="Arial" w:eastAsia="Arial" w:hAnsi="Arial"/>
          <w:sz w:val="22"/>
          <w:szCs w:val="22"/>
        </w:rPr>
        <w:t xml:space="preserve">BracketWorks is not warranted or represented to comply with the Americans with Disabilities Act (ADA), Section 508 of the Rehabilitation Act, the Web Content Accessibility Guidelines (WCAG), or any other accessibility standard or regulation. Operators who are subject to accessibility requirements — including public entities, government contractors, or businesses serving the public — are solely responsible for evaluating whether the Application meets their applicable accessibility obligations.</w:t>
      </w:r>
    </w:p>
    <w:p>
      <w:r>
        <w:t xml:space="preserve"/>
      </w:r>
    </w:p>
    <w:p>
      <w:pPr>
        <w:pStyle w:val="Heading2"/>
      </w:pPr>
      <w:r>
        <w:rPr>
          <w:rFonts w:ascii="Arial" w:cs="Arial" w:eastAsia="Arial" w:hAnsi="Arial"/>
          <w:b/>
          <w:bCs/>
          <w:sz w:val="26"/>
          <w:szCs w:val="26"/>
        </w:rPr>
        <w:t xml:space="preserve">14. Intellectual Property</w:t>
      </w:r>
    </w:p>
    <w:p>
      <w:pPr>
        <w:spacing w:after="120"/>
      </w:pPr>
      <w:r>
        <w:rPr>
          <w:rFonts w:ascii="Arial" w:cs="Arial" w:eastAsia="Arial" w:hAnsi="Arial"/>
          <w:sz w:val="22"/>
          <w:szCs w:val="22"/>
        </w:rPr>
        <w:t xml:space="preserve">The Application, including its software, design, and documentation, is the intellectual property of the developer or licensor. These Terms do not transfer any ownership rights to you. You are granted a limited, non-exclusive, non-transferable license to use the Application in accordance with these Terms and any applicable subscription and license agreement.</w:t>
      </w:r>
    </w:p>
    <w:p>
      <w:r>
        <w:t xml:space="preserve"/>
      </w:r>
    </w:p>
    <w:p>
      <w:pPr>
        <w:pStyle w:val="Heading2"/>
      </w:pPr>
      <w:r>
        <w:rPr>
          <w:rFonts w:ascii="Arial" w:cs="Arial" w:eastAsia="Arial" w:hAnsi="Arial"/>
          <w:b/>
          <w:bCs/>
          <w:sz w:val="26"/>
          <w:szCs w:val="26"/>
        </w:rPr>
        <w:t xml:space="preserve">15. Feedback and Suggestions</w:t>
      </w:r>
    </w:p>
    <w:p>
      <w:pPr>
        <w:spacing w:after="120"/>
      </w:pPr>
      <w:r>
        <w:rPr>
          <w:rFonts w:ascii="Arial" w:cs="Arial" w:eastAsia="Arial" w:hAnsi="Arial"/>
          <w:sz w:val="22"/>
          <w:szCs w:val="22"/>
        </w:rPr>
        <w:t xml:space="preserve">If you submit ideas, suggestions, feature requests, or other feedback regarding the Application ("Feedback"), you agree that such Feedback is provided voluntarily and without any expectation of compensation or credit. Licensor may use, implement, modify, and commercialize any Feedback without restriction, attribution, or payment to you. You represent that you have the right to submit any Feedback you provide and that it does not infringe any third-party rights.</w:t>
      </w:r>
    </w:p>
    <w:p>
      <w:r>
        <w:t xml:space="preserve"/>
      </w:r>
    </w:p>
    <w:p>
      <w:pPr>
        <w:pStyle w:val="Heading2"/>
      </w:pPr>
      <w:r>
        <w:rPr>
          <w:rFonts w:ascii="Arial" w:cs="Arial" w:eastAsia="Arial" w:hAnsi="Arial"/>
          <w:b/>
          <w:bCs/>
          <w:sz w:val="26"/>
          <w:szCs w:val="26"/>
        </w:rPr>
        <w:t xml:space="preserve">16. Force Majeure</w:t>
      </w:r>
    </w:p>
    <w:p>
      <w:pPr>
        <w:spacing w:after="120"/>
      </w:pPr>
      <w:r>
        <w:rPr>
          <w:rFonts w:ascii="Arial" w:cs="Arial" w:eastAsia="Arial" w:hAnsi="Arial"/>
          <w:sz w:val="22"/>
          <w:szCs w:val="22"/>
        </w:rPr>
        <w:t xml:space="preserve">The developer and licensor shall not be liable for any delay or failure to perform any obligation under these Terms to the extent such delay or failure results from causes beyond their reasonable control, including but not limited to natural disasters, acts of God, war, terrorism, civil unrest, government action, internet outages, power failures, or other events of force majeure. In such circumstances, the affected party's obligations are suspended for the duration of the force majeure event.</w:t>
      </w:r>
    </w:p>
    <w:p>
      <w:r>
        <w:t xml:space="preserve"/>
      </w:r>
    </w:p>
    <w:p>
      <w:pPr>
        <w:pStyle w:val="Heading2"/>
      </w:pPr>
      <w:r>
        <w:rPr>
          <w:rFonts w:ascii="Arial" w:cs="Arial" w:eastAsia="Arial" w:hAnsi="Arial"/>
          <w:b/>
          <w:bCs/>
          <w:sz w:val="26"/>
          <w:szCs w:val="26"/>
        </w:rPr>
        <w:t xml:space="preserve">17. Disclaimer of Warranties</w:t>
      </w:r>
    </w:p>
    <w:p>
      <w:pPr>
        <w:spacing w:after="120"/>
      </w:pPr>
      <w:r>
        <w:rPr>
          <w:rFonts w:ascii="Arial" w:cs="Arial" w:eastAsia="Arial" w:hAnsi="Arial"/>
          <w:sz w:val="22"/>
          <w:szCs w:val="22"/>
        </w:rPr>
        <w:t xml:space="preserve">THE APPLICATION IS PROVIDED "AS IS" AND "AS AVAILABLE" WITHOUT WARRANTIES OF ANY KIND, EITHER EXPRESS OR IMPLIED, INCLUDING BUT NOT LIMITED TO WARRANTIES OF MERCHANTABILITY, FITNESS FOR A PARTICULAR PURPOSE, AND NON-INFRINGEMENT. THE DEVELOPER DOES NOT WARRANT THAT THE APPLICATION WILL BE UNINTERRUPTED, ERROR-FREE, OR FREE OF VIRUSES OR OTHER HARMFUL COMPONENTS.</w:t>
      </w:r>
    </w:p>
    <w:p>
      <w:r>
        <w:t xml:space="preserve"/>
      </w:r>
    </w:p>
    <w:p>
      <w:pPr>
        <w:pStyle w:val="Heading2"/>
      </w:pPr>
      <w:r>
        <w:rPr>
          <w:rFonts w:ascii="Arial" w:cs="Arial" w:eastAsia="Arial" w:hAnsi="Arial"/>
          <w:b/>
          <w:bCs/>
          <w:sz w:val="26"/>
          <w:szCs w:val="26"/>
        </w:rPr>
        <w:t xml:space="preserve">18. Limitation of Liability</w:t>
      </w:r>
    </w:p>
    <w:p>
      <w:pPr>
        <w:spacing w:after="120"/>
      </w:pPr>
      <w:r>
        <w:rPr>
          <w:rFonts w:ascii="Arial" w:cs="Arial" w:eastAsia="Arial" w:hAnsi="Arial"/>
          <w:sz w:val="22"/>
          <w:szCs w:val="22"/>
        </w:rPr>
        <w:t xml:space="preserve">TO THE MAXIMUM EXTENT PERMITTED BY APPLICABLE LAW, THE DEVELOPER SHALL NOT BE LIABLE FOR ANY INDIRECT, INCIDENTAL, SPECIAL, CONSEQUENTIAL, OR PUNITIVE DAMAGES, INCLUDING WITHOUT LIMITATION LOSS OF PROFITS, DATA, OR GOODWILL, ARISING OUT OF OR IN CONNECTION WITH YOUR USE OF OR INABILITY TO USE THE APPLICATION, EVEN IF THE DEVELOPER HAS BEEN ADVISED OF THE POSSIBILITY OF SUCH DAMAGES.</w:t>
      </w:r>
    </w:p>
    <w:p>
      <w:r>
        <w:t xml:space="preserve"/>
      </w:r>
    </w:p>
    <w:p>
      <w:pPr>
        <w:pStyle w:val="Heading2"/>
      </w:pPr>
      <w:r>
        <w:rPr>
          <w:rFonts w:ascii="Arial" w:cs="Arial" w:eastAsia="Arial" w:hAnsi="Arial"/>
          <w:b/>
          <w:bCs/>
          <w:sz w:val="26"/>
          <w:szCs w:val="26"/>
        </w:rPr>
        <w:t xml:space="preserve">19. Indemnification</w:t>
      </w:r>
    </w:p>
    <w:p>
      <w:pPr>
        <w:spacing w:after="120"/>
      </w:pPr>
      <w:r>
        <w:rPr>
          <w:rFonts w:ascii="Arial" w:cs="Arial" w:eastAsia="Arial" w:hAnsi="Arial"/>
          <w:sz w:val="22"/>
          <w:szCs w:val="22"/>
        </w:rPr>
        <w:t xml:space="preserve">You agree to indemnify, defend, and hold harmless the developer and its officers, employees, and agents from and against any claims, liabilities, damages, losses, and expenses, including reasonable attorneys' fees, arising out of or in any way connected with your use of the Application, your violation of these Terms, your violation of any applicable law including gambling and gaming laws, or any tournament dispute involving your participants.</w:t>
      </w:r>
    </w:p>
    <w:p>
      <w:r>
        <w:t xml:space="preserve"/>
      </w:r>
    </w:p>
    <w:p>
      <w:pPr>
        <w:pStyle w:val="Heading2"/>
      </w:pPr>
      <w:r>
        <w:rPr>
          <w:rFonts w:ascii="Arial" w:cs="Arial" w:eastAsia="Arial" w:hAnsi="Arial"/>
          <w:b/>
          <w:bCs/>
          <w:sz w:val="26"/>
          <w:szCs w:val="26"/>
        </w:rPr>
        <w:t xml:space="preserve">20. Dispute Resolution and Arbitration</w:t>
      </w:r>
    </w:p>
    <w:p>
      <w:pPr>
        <w:spacing w:after="120"/>
      </w:pPr>
      <w:r>
        <w:rPr>
          <w:rFonts w:ascii="Arial" w:cs="Arial" w:eastAsia="Arial" w:hAnsi="Arial"/>
          <w:sz w:val="22"/>
          <w:szCs w:val="22"/>
        </w:rPr>
        <w:t xml:space="preserve">PLEASE READ THIS SECTION CAREFULLY. IT AFFECTS YOUR LEGAL RIGHTS.</w:t>
      </w:r>
    </w:p>
    <w:p>
      <w:r>
        <w:t xml:space="preserve"/>
      </w:r>
    </w:p>
    <w:p>
      <w:pPr>
        <w:spacing w:after="120"/>
      </w:pPr>
      <w:r>
        <w:rPr>
          <w:rFonts w:ascii="Arial" w:cs="Arial" w:eastAsia="Arial" w:hAnsi="Arial"/>
          <w:sz w:val="22"/>
          <w:szCs w:val="22"/>
        </w:rPr>
        <w:t xml:space="preserve">Any dispute, claim, or controversy arising out of or relating to these Terms or the Application that cannot be resolved through good-faith negotiation within thirty (30) days shall be resolved by binding individual arbitration administered under the rules of the American Arbitration Association (AAA) or a mutually agreed arbitration provider. The arbitration shall be conducted in the governing jurisdiction. The arbitrator's decision shall be final and binding and may be entered as a judgment in any court of competent jurisdiction.</w:t>
      </w:r>
    </w:p>
    <w:p>
      <w:r>
        <w:t xml:space="preserve"/>
      </w:r>
    </w:p>
    <w:p>
      <w:pPr>
        <w:spacing w:after="120"/>
      </w:pPr>
      <w:r>
        <w:rPr>
          <w:rFonts w:ascii="Arial" w:cs="Arial" w:eastAsia="Arial" w:hAnsi="Arial"/>
          <w:sz w:val="22"/>
          <w:szCs w:val="22"/>
        </w:rPr>
        <w:t xml:space="preserve">CLASS ACTION WAIVER: You agree that any arbitration or legal proceeding shall be conducted solely on an individual basis. You waive any right to bring or participate in a class action, class arbitration, or representative proceeding of any kind.</w:t>
      </w:r>
    </w:p>
    <w:p>
      <w:r>
        <w:t xml:space="preserve"/>
      </w:r>
    </w:p>
    <w:p>
      <w:pPr>
        <w:spacing w:after="120"/>
      </w:pPr>
      <w:r>
        <w:rPr>
          <w:rFonts w:ascii="Arial" w:cs="Arial" w:eastAsia="Arial" w:hAnsi="Arial"/>
          <w:sz w:val="22"/>
          <w:szCs w:val="22"/>
        </w:rPr>
        <w:t xml:space="preserve">Nothing in this section prevents either party from seeking emergency injunctive or equitable relief in a court of competent jurisdiction to prevent irreparable harm pending arbitration.</w:t>
      </w:r>
    </w:p>
    <w:p>
      <w:r>
        <w:t xml:space="preserve"/>
      </w:r>
    </w:p>
    <w:p>
      <w:pPr>
        <w:pStyle w:val="Heading2"/>
      </w:pPr>
      <w:r>
        <w:rPr>
          <w:rFonts w:ascii="Arial" w:cs="Arial" w:eastAsia="Arial" w:hAnsi="Arial"/>
          <w:b/>
          <w:bCs/>
          <w:sz w:val="26"/>
          <w:szCs w:val="26"/>
        </w:rPr>
        <w:t xml:space="preserve">21. Modifications to Terms</w:t>
      </w:r>
    </w:p>
    <w:p>
      <w:pPr>
        <w:spacing w:after="120"/>
      </w:pPr>
      <w:r>
        <w:rPr>
          <w:rFonts w:ascii="Arial" w:cs="Arial" w:eastAsia="Arial" w:hAnsi="Arial"/>
          <w:sz w:val="22"/>
          <w:szCs w:val="22"/>
        </w:rPr>
        <w:t xml:space="preserve">The developer reserves the right to modify these Terms at any time. Updated Terms will be provided with an updated effective date and version number. Continued use of the Application after any modification constitutes your acceptance of the revised Terms.</w:t>
      </w:r>
    </w:p>
    <w:p>
      <w:r>
        <w:t xml:space="preserve"/>
      </w:r>
    </w:p>
    <w:p>
      <w:pPr>
        <w:pStyle w:val="Heading2"/>
      </w:pPr>
      <w:r>
        <w:rPr>
          <w:rFonts w:ascii="Arial" w:cs="Arial" w:eastAsia="Arial" w:hAnsi="Arial"/>
          <w:b/>
          <w:bCs/>
          <w:sz w:val="26"/>
          <w:szCs w:val="26"/>
        </w:rPr>
        <w:t xml:space="preserve">22. Governing Law</w:t>
      </w:r>
    </w:p>
    <w:p>
      <w:pPr>
        <w:spacing w:after="120"/>
      </w:pPr>
      <w:r>
        <w:rPr>
          <w:rFonts w:ascii="Arial" w:cs="Arial" w:eastAsia="Arial" w:hAnsi="Arial"/>
          <w:sz w:val="22"/>
          <w:szCs w:val="22"/>
        </w:rPr>
        <w:t xml:space="preserve">These Terms shall be governed by and construed in accordance with the laws of the applicable jurisdiction, without regard to its conflict of law provisions.</w:t>
      </w:r>
    </w:p>
    <w:p>
      <w:r>
        <w:t xml:space="preserve"/>
      </w:r>
    </w:p>
    <w:p>
      <w:pPr>
        <w:pStyle w:val="Heading2"/>
      </w:pPr>
      <w:r>
        <w:rPr>
          <w:rFonts w:ascii="Arial" w:cs="Arial" w:eastAsia="Arial" w:hAnsi="Arial"/>
          <w:b/>
          <w:bCs/>
          <w:sz w:val="26"/>
          <w:szCs w:val="26"/>
        </w:rPr>
        <w:t xml:space="preserve">23. Contact</w:t>
      </w:r>
    </w:p>
    <w:p>
      <w:pPr>
        <w:spacing w:after="120"/>
      </w:pPr>
      <w:r>
        <w:rPr>
          <w:rFonts w:ascii="Arial" w:cs="Arial" w:eastAsia="Arial" w:hAnsi="Arial"/>
          <w:sz w:val="22"/>
          <w:szCs w:val="22"/>
        </w:rPr>
        <w:t xml:space="preserve">Questions about these Terms should be directed to the operator of your BracketWorks installation, or to the licensor at the contact information provided at the time of license issuance.</w:t>
      </w:r>
    </w:p>
    <w:p>
      <w:r>
        <w:br w:type="page"/>
      </w:r>
    </w:p>
    <w:p>
      <w:pPr>
        <w:pStyle w:val="Heading1"/>
      </w:pPr>
      <w:r>
        <w:rPr>
          <w:rFonts w:ascii="Arial" w:cs="Arial" w:eastAsia="Arial" w:hAnsi="Arial"/>
          <w:b/>
          <w:bCs/>
          <w:sz w:val="32"/>
          <w:szCs w:val="32"/>
        </w:rPr>
        <w:t xml:space="preserve">Privacy Policy</w:t>
      </w:r>
    </w:p>
    <w:p>
      <w:pPr>
        <w:spacing w:after="120"/>
      </w:pPr>
      <w:r>
        <w:rPr>
          <w:rFonts w:ascii="Arial" w:cs="Arial" w:eastAsia="Arial" w:hAnsi="Arial"/>
          <w:sz w:val="22"/>
          <w:szCs w:val="22"/>
        </w:rPr>
        <w:t xml:space="preserve">Effective Date: May 7, 2025  |  Version 1.3</w:t>
      </w:r>
    </w:p>
    <w:p>
      <w:r>
        <w:t xml:space="preserve"/>
      </w:r>
    </w:p>
    <w:p>
      <w:pPr>
        <w:spacing w:after="120"/>
      </w:pPr>
      <w:r>
        <w:rPr>
          <w:rFonts w:ascii="Arial" w:cs="Arial" w:eastAsia="Arial" w:hAnsi="Arial"/>
          <w:sz w:val="22"/>
          <w:szCs w:val="22"/>
        </w:rPr>
        <w:t xml:space="preserve">This Privacy Policy describes how BracketWorks collects, uses, and handles information when you use the Application. Because BracketWorks is a self-hosted application, the operator of the Application (the bowling center, tournament director, or organization that installed and runs BracketWorks) is the primary data controller for personal data entered into the system.</w:t>
      </w:r>
    </w:p>
    <w:p>
      <w:r>
        <w:t xml:space="preserve"/>
      </w:r>
    </w:p>
    <w:p>
      <w:pPr>
        <w:pStyle w:val="Heading2"/>
      </w:pPr>
      <w:r>
        <w:rPr>
          <w:rFonts w:ascii="Arial" w:cs="Arial" w:eastAsia="Arial" w:hAnsi="Arial"/>
          <w:b/>
          <w:bCs/>
          <w:sz w:val="26"/>
          <w:szCs w:val="26"/>
        </w:rPr>
        <w:t xml:space="preserve">1. Information We Collect</w:t>
      </w:r>
    </w:p>
    <w:p>
      <w:pPr>
        <w:spacing w:after="60"/>
      </w:pPr>
      <w:r>
        <w:rPr>
          <w:rFonts w:ascii="Arial" w:cs="Arial" w:eastAsia="Arial" w:hAnsi="Arial"/>
          <w:b/>
          <w:bCs/>
          <w:sz w:val="22"/>
          <w:szCs w:val="22"/>
        </w:rPr>
        <w:t xml:space="preserve">1.1 Information Entered by Operators</w:t>
      </w:r>
    </w:p>
    <w:p>
      <w:pPr>
        <w:spacing w:after="120"/>
      </w:pPr>
      <w:r>
        <w:rPr>
          <w:rFonts w:ascii="Arial" w:cs="Arial" w:eastAsia="Arial" w:hAnsi="Arial"/>
          <w:sz w:val="22"/>
          <w:szCs w:val="22"/>
        </w:rPr>
        <w:t xml:space="preserve">Operators may enter the following information about bowlers and tournaments:</w:t>
      </w:r>
    </w:p>
    <w:p>
      <w:pPr>
        <w:pStyle w:val="ListParagraph"/>
        <w:numPr>
          <w:ilvl w:val="0"/>
          <w:numId w:val="2"/>
        </w:numPr>
        <w:spacing w:after="80"/>
      </w:pPr>
      <w:r>
        <w:rPr>
          <w:rFonts w:ascii="Arial" w:cs="Arial" w:eastAsia="Arial" w:hAnsi="Arial"/>
          <w:sz w:val="22"/>
          <w:szCs w:val="22"/>
        </w:rPr>
        <w:t xml:space="preserve">Bowler names</w:t>
      </w:r>
    </w:p>
    <w:p>
      <w:pPr>
        <w:pStyle w:val="ListParagraph"/>
        <w:numPr>
          <w:ilvl w:val="0"/>
          <w:numId w:val="2"/>
        </w:numPr>
        <w:spacing w:after="80"/>
      </w:pPr>
      <w:r>
        <w:rPr>
          <w:rFonts w:ascii="Arial" w:cs="Arial" w:eastAsia="Arial" w:hAnsi="Arial"/>
          <w:sz w:val="22"/>
          <w:szCs w:val="22"/>
        </w:rPr>
        <w:t xml:space="preserve">Tournament entry fees paid</w:t>
      </w:r>
    </w:p>
    <w:p>
      <w:pPr>
        <w:pStyle w:val="ListParagraph"/>
        <w:numPr>
          <w:ilvl w:val="0"/>
          <w:numId w:val="2"/>
        </w:numPr>
        <w:spacing w:after="80"/>
      </w:pPr>
      <w:r>
        <w:rPr>
          <w:rFonts w:ascii="Arial" w:cs="Arial" w:eastAsia="Arial" w:hAnsi="Arial"/>
          <w:sz w:val="22"/>
          <w:szCs w:val="22"/>
        </w:rPr>
        <w:t xml:space="preserve">Scores and bracket results</w:t>
      </w:r>
    </w:p>
    <w:p>
      <w:pPr>
        <w:pStyle w:val="ListParagraph"/>
        <w:numPr>
          <w:ilvl w:val="0"/>
          <w:numId w:val="2"/>
        </w:numPr>
        <w:spacing w:after="80"/>
      </w:pPr>
      <w:r>
        <w:rPr>
          <w:rFonts w:ascii="Arial" w:cs="Arial" w:eastAsia="Arial" w:hAnsi="Arial"/>
          <w:sz w:val="22"/>
          <w:szCs w:val="22"/>
        </w:rPr>
        <w:t xml:space="preserve">Payout amounts received</w:t>
      </w:r>
    </w:p>
    <w:p>
      <w:pPr>
        <w:pStyle w:val="ListParagraph"/>
        <w:numPr>
          <w:ilvl w:val="0"/>
          <w:numId w:val="2"/>
        </w:numPr>
        <w:spacing w:after="80"/>
      </w:pPr>
      <w:r>
        <w:rPr>
          <w:rFonts w:ascii="Arial" w:cs="Arial" w:eastAsia="Arial" w:hAnsi="Arial"/>
          <w:sz w:val="22"/>
          <w:szCs w:val="22"/>
        </w:rPr>
        <w:t xml:space="preserve">Squad assignments and tournament participation history</w:t>
      </w:r>
    </w:p>
    <w:p>
      <w:r>
        <w:t xml:space="preserve"/>
      </w:r>
    </w:p>
    <w:p>
      <w:pPr>
        <w:spacing w:after="60"/>
      </w:pPr>
      <w:r>
        <w:rPr>
          <w:rFonts w:ascii="Arial" w:cs="Arial" w:eastAsia="Arial" w:hAnsi="Arial"/>
          <w:b/>
          <w:bCs/>
          <w:sz w:val="22"/>
          <w:szCs w:val="22"/>
        </w:rPr>
        <w:t xml:space="preserve">1.2 Account Information</w:t>
      </w:r>
    </w:p>
    <w:p>
      <w:pPr>
        <w:spacing w:after="120"/>
      </w:pPr>
      <w:r>
        <w:rPr>
          <w:rFonts w:ascii="Arial" w:cs="Arial" w:eastAsia="Arial" w:hAnsi="Arial"/>
          <w:sz w:val="22"/>
          <w:szCs w:val="22"/>
        </w:rPr>
        <w:t xml:space="preserve">For operator and administrator accounts, the Application stores usernames, hashed passwords, and role/permission settings.</w:t>
      </w:r>
    </w:p>
    <w:p>
      <w:r>
        <w:t xml:space="preserve"/>
      </w:r>
    </w:p>
    <w:p>
      <w:pPr>
        <w:spacing w:after="60"/>
      </w:pPr>
      <w:r>
        <w:rPr>
          <w:rFonts w:ascii="Arial" w:cs="Arial" w:eastAsia="Arial" w:hAnsi="Arial"/>
          <w:b/>
          <w:bCs/>
          <w:sz w:val="22"/>
          <w:szCs w:val="22"/>
        </w:rPr>
        <w:t xml:space="preserve">1.3 Automatically Collected Information</w:t>
      </w:r>
    </w:p>
    <w:p>
      <w:pPr>
        <w:spacing w:after="120"/>
      </w:pPr>
      <w:r>
        <w:rPr>
          <w:rFonts w:ascii="Arial" w:cs="Arial" w:eastAsia="Arial" w:hAnsi="Arial"/>
          <w:sz w:val="22"/>
          <w:szCs w:val="22"/>
        </w:rPr>
        <w:t xml:space="preserve">Depending on the hosting environment, the Application's server software may generate access logs containing IP addresses and browser information. This is determined by the operator's server configuration, not by BracketWorks itself.</w:t>
      </w:r>
    </w:p>
    <w:p>
      <w:r>
        <w:t xml:space="preserve"/>
      </w:r>
    </w:p>
    <w:p>
      <w:pPr>
        <w:spacing w:after="60"/>
      </w:pPr>
      <w:r>
        <w:rPr>
          <w:rFonts w:ascii="Arial" w:cs="Arial" w:eastAsia="Arial" w:hAnsi="Arial"/>
          <w:b/>
          <w:bCs/>
          <w:sz w:val="22"/>
          <w:szCs w:val="22"/>
        </w:rPr>
        <w:t xml:space="preserve">1.4 Analytics and Usage Data</w:t>
      </w:r>
    </w:p>
    <w:p>
      <w:pPr>
        <w:spacing w:after="120"/>
      </w:pPr>
      <w:r>
        <w:rPr>
          <w:rFonts w:ascii="Arial" w:cs="Arial" w:eastAsia="Arial" w:hAnsi="Arial"/>
          <w:sz w:val="22"/>
          <w:szCs w:val="22"/>
        </w:rPr>
        <w:t xml:space="preserve">BracketWorks uses a custom, self-hosted analytics system to collect usage data from users of the Application, including both operators and bowlers accessing the Bowler View. This analytics system is operated solely by BracketWorks and does not share data with any third-party analytics provider, advertising network, or data broker.</w:t>
      </w:r>
    </w:p>
    <w:p>
      <w:r>
        <w:t xml:space="preserve"/>
      </w:r>
    </w:p>
    <w:p>
      <w:pPr>
        <w:spacing w:after="120"/>
      </w:pPr>
      <w:r>
        <w:rPr>
          <w:rFonts w:ascii="Arial" w:cs="Arial" w:eastAsia="Arial" w:hAnsi="Arial"/>
          <w:sz w:val="22"/>
          <w:szCs w:val="22"/>
        </w:rPr>
        <w:t xml:space="preserve">The following types of data may be collected through the analytics system:</w:t>
      </w:r>
    </w:p>
    <w:p>
      <w:pPr>
        <w:pStyle w:val="ListParagraph"/>
        <w:numPr>
          <w:ilvl w:val="0"/>
          <w:numId w:val="2"/>
        </w:numPr>
        <w:spacing w:after="80"/>
      </w:pPr>
      <w:r>
        <w:rPr>
          <w:rFonts w:ascii="Arial" w:cs="Arial" w:eastAsia="Arial" w:hAnsi="Arial"/>
          <w:sz w:val="22"/>
          <w:szCs w:val="22"/>
        </w:rPr>
        <w:t xml:space="preserve">Pages and features accessed within the Application</w:t>
      </w:r>
    </w:p>
    <w:p>
      <w:pPr>
        <w:pStyle w:val="ListParagraph"/>
        <w:numPr>
          <w:ilvl w:val="0"/>
          <w:numId w:val="2"/>
        </w:numPr>
        <w:spacing w:after="80"/>
      </w:pPr>
      <w:r>
        <w:rPr>
          <w:rFonts w:ascii="Arial" w:cs="Arial" w:eastAsia="Arial" w:hAnsi="Arial"/>
          <w:sz w:val="22"/>
          <w:szCs w:val="22"/>
        </w:rPr>
        <w:t xml:space="preserve">Actions taken within the Application (e.g., bracket creation, score entry, report generation)</w:t>
      </w:r>
    </w:p>
    <w:p>
      <w:pPr>
        <w:pStyle w:val="ListParagraph"/>
        <w:numPr>
          <w:ilvl w:val="0"/>
          <w:numId w:val="2"/>
        </w:numPr>
        <w:spacing w:after="80"/>
      </w:pPr>
      <w:r>
        <w:rPr>
          <w:rFonts w:ascii="Arial" w:cs="Arial" w:eastAsia="Arial" w:hAnsi="Arial"/>
          <w:sz w:val="22"/>
          <w:szCs w:val="22"/>
        </w:rPr>
        <w:t xml:space="preserve">Session duration and frequency of use</w:t>
      </w:r>
    </w:p>
    <w:p>
      <w:pPr>
        <w:pStyle w:val="ListParagraph"/>
        <w:numPr>
          <w:ilvl w:val="0"/>
          <w:numId w:val="2"/>
        </w:numPr>
        <w:spacing w:after="80"/>
      </w:pPr>
      <w:r>
        <w:rPr>
          <w:rFonts w:ascii="Arial" w:cs="Arial" w:eastAsia="Arial" w:hAnsi="Arial"/>
          <w:sz w:val="22"/>
          <w:szCs w:val="22"/>
        </w:rPr>
        <w:t xml:space="preserve">Device type and browser information</w:t>
      </w:r>
    </w:p>
    <w:p>
      <w:pPr>
        <w:pStyle w:val="ListParagraph"/>
        <w:numPr>
          <w:ilvl w:val="0"/>
          <w:numId w:val="2"/>
        </w:numPr>
        <w:spacing w:after="80"/>
      </w:pPr>
      <w:r>
        <w:rPr>
          <w:rFonts w:ascii="Arial" w:cs="Arial" w:eastAsia="Arial" w:hAnsi="Arial"/>
          <w:sz w:val="22"/>
          <w:szCs w:val="22"/>
        </w:rPr>
        <w:t xml:space="preserve">IP address (used for session identification and geographic region only; not shared externally)</w:t>
      </w:r>
    </w:p>
    <w:p>
      <w:r>
        <w:t xml:space="preserve"/>
      </w:r>
    </w:p>
    <w:p>
      <w:pPr>
        <w:spacing w:after="120"/>
      </w:pPr>
      <w:r>
        <w:rPr>
          <w:rFonts w:ascii="Arial" w:cs="Arial" w:eastAsia="Arial" w:hAnsi="Arial"/>
          <w:sz w:val="22"/>
          <w:szCs w:val="22"/>
        </w:rPr>
        <w:t xml:space="preserve">This data is collected for the following purposes only:</w:t>
      </w:r>
    </w:p>
    <w:p>
      <w:pPr>
        <w:pStyle w:val="ListParagraph"/>
        <w:numPr>
          <w:ilvl w:val="0"/>
          <w:numId w:val="2"/>
        </w:numPr>
        <w:spacing w:after="80"/>
      </w:pPr>
      <w:r>
        <w:rPr>
          <w:rFonts w:ascii="Arial" w:cs="Arial" w:eastAsia="Arial" w:hAnsi="Arial"/>
          <w:sz w:val="22"/>
          <w:szCs w:val="22"/>
        </w:rPr>
        <w:t xml:space="preserve">Improving the functionality and user experience of the Application</w:t>
      </w:r>
    </w:p>
    <w:p>
      <w:pPr>
        <w:pStyle w:val="ListParagraph"/>
        <w:numPr>
          <w:ilvl w:val="0"/>
          <w:numId w:val="2"/>
        </w:numPr>
        <w:spacing w:after="80"/>
      </w:pPr>
      <w:r>
        <w:rPr>
          <w:rFonts w:ascii="Arial" w:cs="Arial" w:eastAsia="Arial" w:hAnsi="Arial"/>
          <w:sz w:val="22"/>
          <w:szCs w:val="22"/>
        </w:rPr>
        <w:t xml:space="preserve">Identifying bugs, errors, and performance issues</w:t>
      </w:r>
    </w:p>
    <w:p>
      <w:pPr>
        <w:pStyle w:val="ListParagraph"/>
        <w:numPr>
          <w:ilvl w:val="0"/>
          <w:numId w:val="2"/>
        </w:numPr>
        <w:spacing w:after="80"/>
      </w:pPr>
      <w:r>
        <w:rPr>
          <w:rFonts w:ascii="Arial" w:cs="Arial" w:eastAsia="Arial" w:hAnsi="Arial"/>
          <w:sz w:val="22"/>
          <w:szCs w:val="22"/>
        </w:rPr>
        <w:t xml:space="preserve">Understanding how the Application is used in order to prioritize development</w:t>
      </w:r>
    </w:p>
    <w:p>
      <w:r>
        <w:t xml:space="preserve"/>
      </w:r>
    </w:p>
    <w:p>
      <w:pPr>
        <w:spacing w:after="120"/>
      </w:pPr>
      <w:r>
        <w:rPr>
          <w:rFonts w:ascii="Arial" w:cs="Arial" w:eastAsia="Arial" w:hAnsi="Arial"/>
          <w:sz w:val="22"/>
          <w:szCs w:val="22"/>
        </w:rPr>
        <w:t xml:space="preserve">BracketWorks does not sell, license, or share analytics data with any third party. Analytics data is not used for advertising, behavioral profiling, or any commercial purpose other than improving the Application.</w:t>
      </w:r>
    </w:p>
    <w:p>
      <w:r>
        <w:t xml:space="preserve"/>
      </w:r>
    </w:p>
    <w:p>
      <w:pPr>
        <w:pStyle w:val="Heading2"/>
      </w:pPr>
      <w:r>
        <w:rPr>
          <w:rFonts w:ascii="Arial" w:cs="Arial" w:eastAsia="Arial" w:hAnsi="Arial"/>
          <w:b/>
          <w:bCs/>
          <w:sz w:val="26"/>
          <w:szCs w:val="26"/>
        </w:rPr>
        <w:t xml:space="preserve">2. Cookies and Local Storage</w:t>
      </w:r>
    </w:p>
    <w:p>
      <w:pPr>
        <w:spacing w:after="120"/>
      </w:pPr>
      <w:r>
        <w:rPr>
          <w:rFonts w:ascii="Arial" w:cs="Arial" w:eastAsia="Arial" w:hAnsi="Arial"/>
          <w:sz w:val="22"/>
          <w:szCs w:val="22"/>
        </w:rPr>
        <w:t xml:space="preserve">BracketWorks uses cookies and browser local storage to support the operation of the Application. These are first-party only — no third-party tracking cookies, advertising cookies, or social media pixels are used.</w:t>
      </w:r>
    </w:p>
    <w:p>
      <w:r>
        <w:t xml:space="preserve"/>
      </w:r>
    </w:p>
    <w:p>
      <w:pPr>
        <w:spacing w:after="120"/>
      </w:pPr>
      <w:r>
        <w:rPr>
          <w:rFonts w:ascii="Arial" w:cs="Arial" w:eastAsia="Arial" w:hAnsi="Arial"/>
          <w:sz w:val="22"/>
          <w:szCs w:val="22"/>
        </w:rPr>
        <w:t xml:space="preserve">The Application may use the following types of cookies and local storage:</w:t>
      </w:r>
    </w:p>
    <w:p>
      <w:pPr>
        <w:pStyle w:val="ListParagraph"/>
        <w:numPr>
          <w:ilvl w:val="0"/>
          <w:numId w:val="2"/>
        </w:numPr>
        <w:spacing w:after="80"/>
      </w:pPr>
      <w:r>
        <w:rPr>
          <w:rFonts w:ascii="Arial" w:cs="Arial" w:eastAsia="Arial" w:hAnsi="Arial"/>
          <w:sz w:val="22"/>
          <w:szCs w:val="22"/>
        </w:rPr>
        <w:t xml:space="preserve">Session cookies — used to maintain your login session while you are using the Application; these expire when you close your browser</w:t>
      </w:r>
    </w:p>
    <w:p>
      <w:pPr>
        <w:pStyle w:val="ListParagraph"/>
        <w:numPr>
          <w:ilvl w:val="0"/>
          <w:numId w:val="2"/>
        </w:numPr>
        <w:spacing w:after="80"/>
      </w:pPr>
      <w:r>
        <w:rPr>
          <w:rFonts w:ascii="Arial" w:cs="Arial" w:eastAsia="Arial" w:hAnsi="Arial"/>
          <w:sz w:val="22"/>
          <w:szCs w:val="22"/>
        </w:rPr>
        <w:t xml:space="preserve">Preference cookies — used to remember your settings and display preferences within the Application</w:t>
      </w:r>
    </w:p>
    <w:p>
      <w:pPr>
        <w:pStyle w:val="ListParagraph"/>
        <w:numPr>
          <w:ilvl w:val="0"/>
          <w:numId w:val="2"/>
        </w:numPr>
        <w:spacing w:after="80"/>
      </w:pPr>
      <w:r>
        <w:rPr>
          <w:rFonts w:ascii="Arial" w:cs="Arial" w:eastAsia="Arial" w:hAnsi="Arial"/>
          <w:sz w:val="22"/>
          <w:szCs w:val="22"/>
        </w:rPr>
        <w:t xml:space="preserve">Analytics cookies — used by the self-hosted analytics system described above to track usage patterns across sessions; these do not identify you personally and are not shared with any third party</w:t>
      </w:r>
    </w:p>
    <w:p>
      <w:r>
        <w:t xml:space="preserve"/>
      </w:r>
    </w:p>
    <w:p>
      <w:pPr>
        <w:spacing w:after="120"/>
      </w:pPr>
      <w:r>
        <w:rPr>
          <w:rFonts w:ascii="Arial" w:cs="Arial" w:eastAsia="Arial" w:hAnsi="Arial"/>
          <w:sz w:val="22"/>
          <w:szCs w:val="22"/>
        </w:rPr>
        <w:t xml:space="preserve">You may configure your browser to block or delete cookies. Blocking session cookies will prevent you from logging into operator or administrator accounts. Blocking analytics cookies will not affect the core functionality of the Application.</w:t>
      </w:r>
    </w:p>
    <w:p>
      <w:r>
        <w:t xml:space="preserve"/>
      </w:r>
    </w:p>
    <w:p>
      <w:pPr>
        <w:spacing w:after="120"/>
      </w:pPr>
      <w:r>
        <w:rPr>
          <w:rFonts w:ascii="Arial" w:cs="Arial" w:eastAsia="Arial" w:hAnsi="Arial"/>
          <w:sz w:val="22"/>
          <w:szCs w:val="22"/>
        </w:rPr>
        <w:t xml:space="preserve">Because BracketWorks uses only first-party, self-hosted analytics and no advertising or tracking cookies, the Application is not subject to the consent requirements of certain cookie laws (such as the EU ePrivacy Directive) that target third-party advertising trackers. However, operators should assess their own compliance obligations in their jurisdiction.</w:t>
      </w:r>
    </w:p>
    <w:p>
      <w:r>
        <w:t xml:space="preserve"/>
      </w:r>
    </w:p>
    <w:p>
      <w:pPr>
        <w:pStyle w:val="Heading2"/>
      </w:pPr>
      <w:r>
        <w:rPr>
          <w:rFonts w:ascii="Arial" w:cs="Arial" w:eastAsia="Arial" w:hAnsi="Arial"/>
          <w:b/>
          <w:bCs/>
          <w:sz w:val="26"/>
          <w:szCs w:val="26"/>
        </w:rPr>
        <w:t xml:space="preserve">3. How We Use Information</w:t>
      </w:r>
    </w:p>
    <w:p>
      <w:pPr>
        <w:spacing w:after="120"/>
      </w:pPr>
      <w:r>
        <w:rPr>
          <w:rFonts w:ascii="Arial" w:cs="Arial" w:eastAsia="Arial" w:hAnsi="Arial"/>
          <w:sz w:val="22"/>
          <w:szCs w:val="22"/>
        </w:rPr>
        <w:t xml:space="preserve">Information entered into BracketWorks is used solely to:</w:t>
      </w:r>
    </w:p>
    <w:p>
      <w:pPr>
        <w:pStyle w:val="ListParagraph"/>
        <w:numPr>
          <w:ilvl w:val="0"/>
          <w:numId w:val="2"/>
        </w:numPr>
        <w:spacing w:after="80"/>
      </w:pPr>
      <w:r>
        <w:rPr>
          <w:rFonts w:ascii="Arial" w:cs="Arial" w:eastAsia="Arial" w:hAnsi="Arial"/>
          <w:sz w:val="22"/>
          <w:szCs w:val="22"/>
        </w:rPr>
        <w:t xml:space="preserve">Operate tournament brackets and track seeding, scores, and advancement</w:t>
      </w:r>
    </w:p>
    <w:p>
      <w:pPr>
        <w:pStyle w:val="ListParagraph"/>
        <w:numPr>
          <w:ilvl w:val="0"/>
          <w:numId w:val="2"/>
        </w:numPr>
        <w:spacing w:after="80"/>
      </w:pPr>
      <w:r>
        <w:rPr>
          <w:rFonts w:ascii="Arial" w:cs="Arial" w:eastAsia="Arial" w:hAnsi="Arial"/>
          <w:sz w:val="22"/>
          <w:szCs w:val="22"/>
        </w:rPr>
        <w:t xml:space="preserve">Calculate and display payout distributions</w:t>
      </w:r>
    </w:p>
    <w:p>
      <w:pPr>
        <w:pStyle w:val="ListParagraph"/>
        <w:numPr>
          <w:ilvl w:val="0"/>
          <w:numId w:val="2"/>
        </w:numPr>
        <w:spacing w:after="80"/>
      </w:pPr>
      <w:r>
        <w:rPr>
          <w:rFonts w:ascii="Arial" w:cs="Arial" w:eastAsia="Arial" w:hAnsi="Arial"/>
          <w:sz w:val="22"/>
          <w:szCs w:val="22"/>
        </w:rPr>
        <w:t xml:space="preserve">Generate tournament reports and bowler performance history</w:t>
      </w:r>
    </w:p>
    <w:p>
      <w:pPr>
        <w:pStyle w:val="ListParagraph"/>
        <w:numPr>
          <w:ilvl w:val="0"/>
          <w:numId w:val="2"/>
        </w:numPr>
        <w:spacing w:after="80"/>
      </w:pPr>
      <w:r>
        <w:rPr>
          <w:rFonts w:ascii="Arial" w:cs="Arial" w:eastAsia="Arial" w:hAnsi="Arial"/>
          <w:sz w:val="22"/>
          <w:szCs w:val="22"/>
        </w:rPr>
        <w:t xml:space="preserve">Authenticate operator and administrator users</w:t>
      </w:r>
    </w:p>
    <w:p>
      <w:r>
        <w:t xml:space="preserve"/>
      </w:r>
    </w:p>
    <w:p>
      <w:pPr>
        <w:spacing w:after="120"/>
      </w:pPr>
      <w:r>
        <w:rPr>
          <w:rFonts w:ascii="Arial" w:cs="Arial" w:eastAsia="Arial" w:hAnsi="Arial"/>
          <w:sz w:val="22"/>
          <w:szCs w:val="22"/>
        </w:rPr>
        <w:t xml:space="preserve">BracketWorks does not use bowler data for marketing, advertising, or any purpose unrelated to tournament operation.</w:t>
      </w:r>
    </w:p>
    <w:p>
      <w:r>
        <w:t xml:space="preserve"/>
      </w:r>
    </w:p>
    <w:p>
      <w:pPr>
        <w:pStyle w:val="Heading2"/>
      </w:pPr>
      <w:r>
        <w:rPr>
          <w:rFonts w:ascii="Arial" w:cs="Arial" w:eastAsia="Arial" w:hAnsi="Arial"/>
          <w:b/>
          <w:bCs/>
          <w:sz w:val="26"/>
          <w:szCs w:val="26"/>
        </w:rPr>
        <w:t xml:space="preserve">4. Data Storage and Security</w:t>
      </w:r>
    </w:p>
    <w:p>
      <w:pPr>
        <w:spacing w:after="120"/>
      </w:pPr>
      <w:r>
        <w:rPr>
          <w:rFonts w:ascii="Arial" w:cs="Arial" w:eastAsia="Arial" w:hAnsi="Arial"/>
          <w:sz w:val="22"/>
          <w:szCs w:val="22"/>
        </w:rPr>
        <w:t xml:space="preserve">BracketWorks is a self-hosted application. All data is stored on infrastructure controlled by the operator. The developer of BracketWorks does not have access to, and does not collect, any data stored in operator-hosted installations.</w:t>
      </w:r>
    </w:p>
    <w:p>
      <w:r>
        <w:t xml:space="preserve"/>
      </w:r>
    </w:p>
    <w:p>
      <w:pPr>
        <w:spacing w:after="120"/>
      </w:pPr>
      <w:r>
        <w:rPr>
          <w:rFonts w:ascii="Arial" w:cs="Arial" w:eastAsia="Arial" w:hAnsi="Arial"/>
          <w:sz w:val="22"/>
          <w:szCs w:val="22"/>
        </w:rPr>
        <w:t xml:space="preserve">Operators are responsible for the security of the systems on which BracketWorks is deployed, including physical security, network security, backups, and access controls. Operators should implement appropriate security measures including keeping server software up to date, using strong passwords for administrator accounts, and restricting network access to the Application as appropriate.</w:t>
      </w:r>
    </w:p>
    <w:p>
      <w:r>
        <w:t xml:space="preserve"/>
      </w:r>
    </w:p>
    <w:p>
      <w:pPr>
        <w:pStyle w:val="Heading2"/>
      </w:pPr>
      <w:r>
        <w:rPr>
          <w:rFonts w:ascii="Arial" w:cs="Arial" w:eastAsia="Arial" w:hAnsi="Arial"/>
          <w:b/>
          <w:bCs/>
          <w:sz w:val="26"/>
          <w:szCs w:val="26"/>
        </w:rPr>
        <w:t xml:space="preserve">5. Data Sharing</w:t>
      </w:r>
    </w:p>
    <w:p>
      <w:pPr>
        <w:spacing w:after="120"/>
      </w:pPr>
      <w:r>
        <w:rPr>
          <w:rFonts w:ascii="Arial" w:cs="Arial" w:eastAsia="Arial" w:hAnsi="Arial"/>
          <w:sz w:val="22"/>
          <w:szCs w:val="22"/>
        </w:rPr>
        <w:t xml:space="preserve">BracketWorks does not transmit bowler data to any third party. Data is accessible only to authorized users on the operator's installation. Tournament results displayed in the Bowler View are viewable by anyone with network access to the Application, which is controlled by the operator.</w:t>
      </w:r>
    </w:p>
    <w:p>
      <w:r>
        <w:t xml:space="preserve"/>
      </w:r>
    </w:p>
    <w:p>
      <w:pPr>
        <w:pStyle w:val="Heading2"/>
      </w:pPr>
      <w:r>
        <w:rPr>
          <w:rFonts w:ascii="Arial" w:cs="Arial" w:eastAsia="Arial" w:hAnsi="Arial"/>
          <w:b/>
          <w:bCs/>
          <w:sz w:val="26"/>
          <w:szCs w:val="26"/>
        </w:rPr>
        <w:t xml:space="preserve">6. Children's Privacy</w:t>
      </w:r>
    </w:p>
    <w:p>
      <w:pPr>
        <w:spacing w:after="120"/>
      </w:pPr>
      <w:r>
        <w:rPr>
          <w:rFonts w:ascii="Arial" w:cs="Arial" w:eastAsia="Arial" w:hAnsi="Arial"/>
          <w:sz w:val="22"/>
          <w:szCs w:val="22"/>
        </w:rPr>
        <w:t xml:space="preserve">BracketWorks supports junior bowling divisions. Operators who enter information about junior participants (individuals under 13 in the United States, or the applicable age in other jurisdictions) are responsible for obtaining any necessary parental consent and complying with applicable laws including the Children's Online Privacy Protection Act (COPPA) in the United States.</w:t>
      </w:r>
    </w:p>
    <w:p>
      <w:r>
        <w:t xml:space="preserve"/>
      </w:r>
    </w:p>
    <w:p>
      <w:pPr>
        <w:pStyle w:val="Heading2"/>
      </w:pPr>
      <w:r>
        <w:rPr>
          <w:rFonts w:ascii="Arial" w:cs="Arial" w:eastAsia="Arial" w:hAnsi="Arial"/>
          <w:b/>
          <w:bCs/>
          <w:sz w:val="26"/>
          <w:szCs w:val="26"/>
        </w:rPr>
        <w:t xml:space="preserve">7. Bowler Rights</w:t>
      </w:r>
    </w:p>
    <w:p>
      <w:pPr>
        <w:spacing w:after="120"/>
      </w:pPr>
      <w:r>
        <w:rPr>
          <w:rFonts w:ascii="Arial" w:cs="Arial" w:eastAsia="Arial" w:hAnsi="Arial"/>
          <w:sz w:val="22"/>
          <w:szCs w:val="22"/>
        </w:rPr>
        <w:t xml:space="preserve">Bowlers who believe their information has been entered incorrectly or who wish to request correction or removal of their data should contact the operator of the BracketWorks installation directly. The operator controls all data in their installation and is the appropriate party to handle such requests.</w:t>
      </w:r>
    </w:p>
    <w:p>
      <w:r>
        <w:t xml:space="preserve"/>
      </w:r>
    </w:p>
    <w:p>
      <w:pPr>
        <w:pStyle w:val="Heading2"/>
      </w:pPr>
      <w:r>
        <w:rPr>
          <w:rFonts w:ascii="Arial" w:cs="Arial" w:eastAsia="Arial" w:hAnsi="Arial"/>
          <w:b/>
          <w:bCs/>
          <w:sz w:val="26"/>
          <w:szCs w:val="26"/>
        </w:rPr>
        <w:t xml:space="preserve">8. Operator Responsibilities</w:t>
      </w:r>
    </w:p>
    <w:p>
      <w:pPr>
        <w:spacing w:after="120"/>
      </w:pPr>
      <w:r>
        <w:rPr>
          <w:rFonts w:ascii="Arial" w:cs="Arial" w:eastAsia="Arial" w:hAnsi="Arial"/>
          <w:sz w:val="22"/>
          <w:szCs w:val="22"/>
        </w:rPr>
        <w:t xml:space="preserve">As the data controller, the operator of each BracketWorks installation is responsible for:</w:t>
      </w:r>
    </w:p>
    <w:p>
      <w:pPr>
        <w:pStyle w:val="ListParagraph"/>
        <w:numPr>
          <w:ilvl w:val="0"/>
          <w:numId w:val="2"/>
        </w:numPr>
        <w:spacing w:after="80"/>
      </w:pPr>
      <w:r>
        <w:rPr>
          <w:rFonts w:ascii="Arial" w:cs="Arial" w:eastAsia="Arial" w:hAnsi="Arial"/>
          <w:sz w:val="22"/>
          <w:szCs w:val="22"/>
        </w:rPr>
        <w:t xml:space="preserve">Informing bowlers that their name and tournament information will be recorded</w:t>
      </w:r>
    </w:p>
    <w:p>
      <w:pPr>
        <w:pStyle w:val="ListParagraph"/>
        <w:numPr>
          <w:ilvl w:val="0"/>
          <w:numId w:val="2"/>
        </w:numPr>
        <w:spacing w:after="80"/>
      </w:pPr>
      <w:r>
        <w:rPr>
          <w:rFonts w:ascii="Arial" w:cs="Arial" w:eastAsia="Arial" w:hAnsi="Arial"/>
          <w:sz w:val="22"/>
          <w:szCs w:val="22"/>
        </w:rPr>
        <w:t xml:space="preserve">Obtaining any consents required by applicable law</w:t>
      </w:r>
    </w:p>
    <w:p>
      <w:pPr>
        <w:pStyle w:val="ListParagraph"/>
        <w:numPr>
          <w:ilvl w:val="0"/>
          <w:numId w:val="2"/>
        </w:numPr>
        <w:spacing w:after="80"/>
      </w:pPr>
      <w:r>
        <w:rPr>
          <w:rFonts w:ascii="Arial" w:cs="Arial" w:eastAsia="Arial" w:hAnsi="Arial"/>
          <w:sz w:val="22"/>
          <w:szCs w:val="22"/>
        </w:rPr>
        <w:t xml:space="preserve">Responding to bowler requests regarding their personal data</w:t>
      </w:r>
    </w:p>
    <w:p>
      <w:pPr>
        <w:pStyle w:val="ListParagraph"/>
        <w:numPr>
          <w:ilvl w:val="0"/>
          <w:numId w:val="2"/>
        </w:numPr>
        <w:spacing w:after="80"/>
      </w:pPr>
      <w:r>
        <w:rPr>
          <w:rFonts w:ascii="Arial" w:cs="Arial" w:eastAsia="Arial" w:hAnsi="Arial"/>
          <w:sz w:val="22"/>
          <w:szCs w:val="22"/>
        </w:rPr>
        <w:t xml:space="preserve">Complying with all applicable federal, state, and local data protection and privacy laws</w:t>
      </w:r>
    </w:p>
    <w:p>
      <w:pPr>
        <w:pStyle w:val="ListParagraph"/>
        <w:numPr>
          <w:ilvl w:val="0"/>
          <w:numId w:val="2"/>
        </w:numPr>
        <w:spacing w:after="80"/>
      </w:pPr>
      <w:r>
        <w:rPr>
          <w:rFonts w:ascii="Arial" w:cs="Arial" w:eastAsia="Arial" w:hAnsi="Arial"/>
          <w:sz w:val="22"/>
          <w:szCs w:val="22"/>
        </w:rPr>
        <w:t xml:space="preserve">Implementing appropriate technical and organizational measures to protect data</w:t>
      </w:r>
    </w:p>
    <w:p>
      <w:r>
        <w:t xml:space="preserve"/>
      </w:r>
    </w:p>
    <w:p>
      <w:pPr>
        <w:pStyle w:val="Heading2"/>
      </w:pPr>
      <w:r>
        <w:rPr>
          <w:rFonts w:ascii="Arial" w:cs="Arial" w:eastAsia="Arial" w:hAnsi="Arial"/>
          <w:b/>
          <w:bCs/>
          <w:sz w:val="26"/>
          <w:szCs w:val="26"/>
        </w:rPr>
        <w:t xml:space="preserve">9. State Privacy Law Notices</w:t>
      </w:r>
    </w:p>
    <w:p>
      <w:pPr>
        <w:spacing w:after="120"/>
      </w:pPr>
      <w:r>
        <w:rPr>
          <w:rFonts w:ascii="Arial" w:cs="Arial" w:eastAsia="Arial" w:hAnsi="Arial"/>
          <w:sz w:val="22"/>
          <w:szCs w:val="22"/>
        </w:rPr>
        <w:t xml:space="preserve">BracketWorks is available for use across all 50 U.S. states. Operators are responsible for compliance with the privacy laws of their own state and any state in which their tournament participants reside. The following are highlights of key state laws that may apply:</w:t>
      </w:r>
    </w:p>
    <w:p>
      <w:r>
        <w:t xml:space="preserve"/>
      </w:r>
    </w:p>
    <w:p>
      <w:pPr>
        <w:spacing w:after="60"/>
      </w:pPr>
      <w:r>
        <w:rPr>
          <w:rFonts w:ascii="Arial" w:cs="Arial" w:eastAsia="Arial" w:hAnsi="Arial"/>
          <w:b/>
          <w:bCs/>
          <w:sz w:val="22"/>
          <w:szCs w:val="22"/>
        </w:rPr>
        <w:t xml:space="preserve">California (CCPA/CPRA)</w:t>
      </w:r>
    </w:p>
    <w:p>
      <w:pPr>
        <w:spacing w:after="120"/>
      </w:pPr>
      <w:r>
        <w:rPr>
          <w:rFonts w:ascii="Arial" w:cs="Arial" w:eastAsia="Arial" w:hAnsi="Arial"/>
          <w:sz w:val="22"/>
          <w:szCs w:val="22"/>
        </w:rPr>
        <w:t xml:space="preserve">California residents have the right to know what personal information is collected about them, the right to delete personal information, the right to opt out of the sale of personal information, and the right to non-discrimination for exercising their rights. BracketWorks does not sell personal information. Operators serving California residents should ensure their privacy practices comply with the California Consumer Privacy Act and California Privacy Rights Act.</w:t>
      </w:r>
    </w:p>
    <w:p>
      <w:r>
        <w:t xml:space="preserve"/>
      </w:r>
    </w:p>
    <w:p>
      <w:pPr>
        <w:spacing w:after="60"/>
      </w:pPr>
      <w:r>
        <w:rPr>
          <w:rFonts w:ascii="Arial" w:cs="Arial" w:eastAsia="Arial" w:hAnsi="Arial"/>
          <w:b/>
          <w:bCs/>
          <w:sz w:val="22"/>
          <w:szCs w:val="22"/>
        </w:rPr>
        <w:t xml:space="preserve">Virginia (VCDPA), Colorado (CPA), Connecticut (CTDPA), and Similar State Laws</w:t>
      </w:r>
    </w:p>
    <w:p>
      <w:pPr>
        <w:spacing w:after="120"/>
      </w:pPr>
      <w:r>
        <w:rPr>
          <w:rFonts w:ascii="Arial" w:cs="Arial" w:eastAsia="Arial" w:hAnsi="Arial"/>
          <w:sz w:val="22"/>
          <w:szCs w:val="22"/>
        </w:rPr>
        <w:t xml:space="preserve">Several states have enacted comprehensive consumer privacy laws granting residents rights to access, correct, delete, and port their personal data, as well as the right to opt out of certain processing activities. Operators serving residents of these states should review the applicable requirements and ensure their data practices are compliant.</w:t>
      </w:r>
    </w:p>
    <w:p>
      <w:r>
        <w:t xml:space="preserve"/>
      </w:r>
    </w:p>
    <w:p>
      <w:pPr>
        <w:spacing w:after="120"/>
      </w:pPr>
      <w:r>
        <w:rPr>
          <w:rFonts w:ascii="Arial" w:cs="Arial" w:eastAsia="Arial" w:hAnsi="Arial"/>
          <w:sz w:val="22"/>
          <w:szCs w:val="22"/>
        </w:rPr>
        <w:t xml:space="preserve">Because BracketWorks stores only limited tournament-related data (names, scores, entry fees, and payouts) and does not engage in advertising, profiling, or data sales, operators using the Application for its intended purpose are unlikely to face significant obligations under most state privacy laws beyond transparency and data security requirements. However, operators should consult with legal counsel to confirm their specific compliance obligations.</w:t>
      </w:r>
    </w:p>
    <w:p>
      <w:r>
        <w:t xml:space="preserve"/>
      </w:r>
    </w:p>
    <w:p>
      <w:pPr>
        <w:pStyle w:val="Heading2"/>
      </w:pPr>
      <w:r>
        <w:rPr>
          <w:rFonts w:ascii="Arial" w:cs="Arial" w:eastAsia="Arial" w:hAnsi="Arial"/>
          <w:b/>
          <w:bCs/>
          <w:sz w:val="26"/>
          <w:szCs w:val="26"/>
        </w:rPr>
        <w:t xml:space="preserve">10. Data Retention</w:t>
      </w:r>
    </w:p>
    <w:p>
      <w:pPr>
        <w:spacing w:after="120"/>
      </w:pPr>
      <w:r>
        <w:rPr>
          <w:rFonts w:ascii="Arial" w:cs="Arial" w:eastAsia="Arial" w:hAnsi="Arial"/>
          <w:sz w:val="22"/>
          <w:szCs w:val="22"/>
        </w:rPr>
        <w:t xml:space="preserve">Data is retained in BracketWorks for as long as the operator chooses to maintain it. Operators should establish and communicate a data retention policy appropriate to their jurisdiction and circumstances.</w:t>
      </w:r>
    </w:p>
    <w:p>
      <w:r>
        <w:t xml:space="preserve"/>
      </w:r>
    </w:p>
    <w:p>
      <w:pPr>
        <w:pStyle w:val="Heading2"/>
      </w:pPr>
      <w:r>
        <w:rPr>
          <w:rFonts w:ascii="Arial" w:cs="Arial" w:eastAsia="Arial" w:hAnsi="Arial"/>
          <w:b/>
          <w:bCs/>
          <w:sz w:val="26"/>
          <w:szCs w:val="26"/>
        </w:rPr>
        <w:t xml:space="preserve">11. Changes to This Policy</w:t>
      </w:r>
    </w:p>
    <w:p>
      <w:pPr>
        <w:spacing w:after="120"/>
      </w:pPr>
      <w:r>
        <w:rPr>
          <w:rFonts w:ascii="Arial" w:cs="Arial" w:eastAsia="Arial" w:hAnsi="Arial"/>
          <w:sz w:val="22"/>
          <w:szCs w:val="22"/>
        </w:rPr>
        <w:t xml:space="preserve">This Privacy Policy may be updated from time to time. The current version will be identified by the effective date and version number above.</w:t>
      </w:r>
    </w:p>
    <w:p>
      <w:r>
        <w:t xml:space="preserve"/>
      </w:r>
    </w:p>
    <w:p>
      <w:pPr>
        <w:pStyle w:val="Heading2"/>
      </w:pPr>
      <w:r>
        <w:rPr>
          <w:rFonts w:ascii="Arial" w:cs="Arial" w:eastAsia="Arial" w:hAnsi="Arial"/>
          <w:b/>
          <w:bCs/>
          <w:sz w:val="26"/>
          <w:szCs w:val="26"/>
        </w:rPr>
        <w:t xml:space="preserve">12. Contact</w:t>
      </w:r>
    </w:p>
    <w:p>
      <w:pPr>
        <w:spacing w:after="120"/>
      </w:pPr>
      <w:r>
        <w:rPr>
          <w:rFonts w:ascii="Arial" w:cs="Arial" w:eastAsia="Arial" w:hAnsi="Arial"/>
          <w:sz w:val="22"/>
          <w:szCs w:val="22"/>
        </w:rPr>
        <w:t xml:space="preserve">Questions about how personal data is handled in a specific BracketWorks installation should be directed to that installation's operator.</w:t>
      </w:r>
    </w:p>
    <w:p>
      <w:r>
        <w:br w:type="page"/>
      </w:r>
    </w:p>
    <w:p>
      <w:pPr>
        <w:pStyle w:val="Heading1"/>
      </w:pPr>
      <w:r>
        <w:rPr>
          <w:rFonts w:ascii="Arial" w:cs="Arial" w:eastAsia="Arial" w:hAnsi="Arial"/>
          <w:b/>
          <w:bCs/>
          <w:sz w:val="32"/>
          <w:szCs w:val="32"/>
        </w:rPr>
        <w:t xml:space="preserve">Operator License Agreement</w:t>
      </w:r>
    </w:p>
    <w:p>
      <w:pPr>
        <w:spacing w:after="120"/>
      </w:pPr>
      <w:r>
        <w:rPr>
          <w:rFonts w:ascii="Arial" w:cs="Arial" w:eastAsia="Arial" w:hAnsi="Arial"/>
          <w:sz w:val="22"/>
          <w:szCs w:val="22"/>
        </w:rPr>
        <w:t xml:space="preserve">Effective Date: May 7, 2025  |  Version 1.3</w:t>
      </w:r>
    </w:p>
    <w:p>
      <w:r>
        <w:t xml:space="preserve"/>
      </w:r>
    </w:p>
    <w:p>
      <w:pPr>
        <w:spacing w:after="120"/>
      </w:pPr>
      <w:r>
        <w:rPr>
          <w:rFonts w:ascii="Arial" w:cs="Arial" w:eastAsia="Arial" w:hAnsi="Arial"/>
          <w:sz w:val="22"/>
          <w:szCs w:val="22"/>
        </w:rPr>
        <w:t xml:space="preserve">This Operator License Agreement ("Agreement") is entered into between the developer or licensor of BracketWorks ("Licensor") and the individual or organization installing and operating the BracketWorks application ("Operator"). By installing or using BracketWorks, Operator agrees to be bound by the terms of this Agreement.</w:t>
      </w:r>
    </w:p>
    <w:p>
      <w:r>
        <w:t xml:space="preserve"/>
      </w:r>
    </w:p>
    <w:p>
      <w:pPr>
        <w:pBdr>
          <w:left w:val="single" w:color="2E5FA3" w:sz="6" w:space="6"/>
        </w:pBdr>
        <w:spacing w:after="120"/>
        <w:ind w:left="360"/>
      </w:pPr>
      <w:r>
        <w:rPr>
          <w:rFonts w:ascii="Arial" w:cs="Arial" w:eastAsia="Arial" w:hAnsi="Arial"/>
          <w:i/>
          <w:iCs/>
          <w:color w:val="444444"/>
          <w:sz w:val="20"/>
          <w:szCs w:val="20"/>
        </w:rPr>
        <w:t xml:space="preserve">EARLY ACCESS NOTICE: BracketWorks is currently in active development and is provided in a pre-commercial state. Features, pricing, and terms may change. See Section 7 for details on the transition to paid licensing.</w:t>
      </w:r>
    </w:p>
    <w:p>
      <w:r>
        <w:t xml:space="preserve"/>
      </w:r>
    </w:p>
    <w:p>
      <w:pPr>
        <w:pStyle w:val="Heading2"/>
      </w:pPr>
      <w:r>
        <w:rPr>
          <w:rFonts w:ascii="Arial" w:cs="Arial" w:eastAsia="Arial" w:hAnsi="Arial"/>
          <w:b/>
          <w:bCs/>
          <w:sz w:val="26"/>
          <w:szCs w:val="26"/>
        </w:rPr>
        <w:t xml:space="preserve">1. Grant of License</w:t>
      </w:r>
    </w:p>
    <w:p>
      <w:pPr>
        <w:spacing w:after="120"/>
      </w:pPr>
      <w:r>
        <w:rPr>
          <w:rFonts w:ascii="Arial" w:cs="Arial" w:eastAsia="Arial" w:hAnsi="Arial"/>
          <w:sz w:val="22"/>
          <w:szCs w:val="22"/>
        </w:rPr>
        <w:t xml:space="preserve">Subject to the terms and conditions of this Agreement and Operator's maintenance of an active, paid subscription, Licensor grants Operator a limited, non-exclusive, non-transferable, revocable license to install and use the BracketWorks software ("Software") solely for the purpose of managing bowling tournaments at Operator's facilities or under Operator's direction. This license is valid only during periods in which Operator's subscription is current and all applicable fees have been paid. During any promotional or pre-launch period in which no fee is charged, this license is granted on a royalty-free basis at Licensor's sole discretion.</w:t>
      </w:r>
    </w:p>
    <w:p>
      <w:r>
        <w:t xml:space="preserve"/>
      </w:r>
    </w:p>
    <w:p>
      <w:pPr>
        <w:pStyle w:val="Heading2"/>
      </w:pPr>
      <w:r>
        <w:rPr>
          <w:rFonts w:ascii="Arial" w:cs="Arial" w:eastAsia="Arial" w:hAnsi="Arial"/>
          <w:b/>
          <w:bCs/>
          <w:sz w:val="26"/>
          <w:szCs w:val="26"/>
        </w:rPr>
        <w:t xml:space="preserve">2. Permitted Uses</w:t>
      </w:r>
    </w:p>
    <w:p>
      <w:pPr>
        <w:spacing w:after="120"/>
      </w:pPr>
      <w:r>
        <w:rPr>
          <w:rFonts w:ascii="Arial" w:cs="Arial" w:eastAsia="Arial" w:hAnsi="Arial"/>
          <w:sz w:val="22"/>
          <w:szCs w:val="22"/>
        </w:rPr>
        <w:t xml:space="preserve">Operator may:</w:t>
      </w:r>
    </w:p>
    <w:p>
      <w:pPr>
        <w:pStyle w:val="ListParagraph"/>
        <w:numPr>
          <w:ilvl w:val="0"/>
          <w:numId w:val="2"/>
        </w:numPr>
        <w:spacing w:after="80"/>
      </w:pPr>
      <w:r>
        <w:rPr>
          <w:rFonts w:ascii="Arial" w:cs="Arial" w:eastAsia="Arial" w:hAnsi="Arial"/>
          <w:sz w:val="22"/>
          <w:szCs w:val="22"/>
        </w:rPr>
        <w:t xml:space="preserve">Install the Software on one or more servers or devices owned or controlled by Operator</w:t>
      </w:r>
    </w:p>
    <w:p>
      <w:pPr>
        <w:pStyle w:val="ListParagraph"/>
        <w:numPr>
          <w:ilvl w:val="0"/>
          <w:numId w:val="2"/>
        </w:numPr>
        <w:spacing w:after="80"/>
      </w:pPr>
      <w:r>
        <w:rPr>
          <w:rFonts w:ascii="Arial" w:cs="Arial" w:eastAsia="Arial" w:hAnsi="Arial"/>
          <w:sz w:val="22"/>
          <w:szCs w:val="22"/>
        </w:rPr>
        <w:t xml:space="preserve">Allow authorized staff and administrators to access and use the Software</w:t>
      </w:r>
    </w:p>
    <w:p>
      <w:pPr>
        <w:pStyle w:val="ListParagraph"/>
        <w:numPr>
          <w:ilvl w:val="0"/>
          <w:numId w:val="2"/>
        </w:numPr>
        <w:spacing w:after="80"/>
      </w:pPr>
      <w:r>
        <w:rPr>
          <w:rFonts w:ascii="Arial" w:cs="Arial" w:eastAsia="Arial" w:hAnsi="Arial"/>
          <w:sz w:val="22"/>
          <w:szCs w:val="22"/>
        </w:rPr>
        <w:t xml:space="preserve">Allow bowlers and tournament participants to access the Bowler View</w:t>
      </w:r>
    </w:p>
    <w:p>
      <w:pPr>
        <w:pStyle w:val="ListParagraph"/>
        <w:numPr>
          <w:ilvl w:val="0"/>
          <w:numId w:val="2"/>
        </w:numPr>
        <w:spacing w:after="80"/>
      </w:pPr>
      <w:r>
        <w:rPr>
          <w:rFonts w:ascii="Arial" w:cs="Arial" w:eastAsia="Arial" w:hAnsi="Arial"/>
          <w:sz w:val="22"/>
          <w:szCs w:val="22"/>
        </w:rPr>
        <w:t xml:space="preserve">Use the Software to manage tournaments, track scores, and calculate payouts</w:t>
      </w:r>
    </w:p>
    <w:p>
      <w:r>
        <w:t xml:space="preserve"/>
      </w:r>
    </w:p>
    <w:p>
      <w:pPr>
        <w:pStyle w:val="Heading2"/>
      </w:pPr>
      <w:r>
        <w:rPr>
          <w:rFonts w:ascii="Arial" w:cs="Arial" w:eastAsia="Arial" w:hAnsi="Arial"/>
          <w:b/>
          <w:bCs/>
          <w:sz w:val="26"/>
          <w:szCs w:val="26"/>
        </w:rPr>
        <w:t xml:space="preserve">3. Restrictions</w:t>
      </w:r>
    </w:p>
    <w:p>
      <w:pPr>
        <w:spacing w:after="120"/>
      </w:pPr>
      <w:r>
        <w:rPr>
          <w:rFonts w:ascii="Arial" w:cs="Arial" w:eastAsia="Arial" w:hAnsi="Arial"/>
          <w:sz w:val="22"/>
          <w:szCs w:val="22"/>
        </w:rPr>
        <w:t xml:space="preserve">Operator may not:</w:t>
      </w:r>
    </w:p>
    <w:p>
      <w:pPr>
        <w:pStyle w:val="ListParagraph"/>
        <w:numPr>
          <w:ilvl w:val="0"/>
          <w:numId w:val="2"/>
        </w:numPr>
        <w:spacing w:after="80"/>
      </w:pPr>
      <w:r>
        <w:rPr>
          <w:rFonts w:ascii="Arial" w:cs="Arial" w:eastAsia="Arial" w:hAnsi="Arial"/>
          <w:sz w:val="22"/>
          <w:szCs w:val="22"/>
        </w:rPr>
        <w:t xml:space="preserve">Sublicense, sell, resell, transfer, assign, or otherwise commercially exploit the Software without prior written consent from Licensor</w:t>
      </w:r>
    </w:p>
    <w:p>
      <w:pPr>
        <w:pStyle w:val="ListParagraph"/>
        <w:numPr>
          <w:ilvl w:val="0"/>
          <w:numId w:val="2"/>
        </w:numPr>
        <w:spacing w:after="80"/>
      </w:pPr>
      <w:r>
        <w:rPr>
          <w:rFonts w:ascii="Arial" w:cs="Arial" w:eastAsia="Arial" w:hAnsi="Arial"/>
          <w:sz w:val="22"/>
          <w:szCs w:val="22"/>
        </w:rPr>
        <w:t xml:space="preserve">Modify, adapt, translate, reverse engineer, decompile, disassemble, or create derivative works based on the Software</w:t>
      </w:r>
    </w:p>
    <w:p>
      <w:pPr>
        <w:pStyle w:val="ListParagraph"/>
        <w:numPr>
          <w:ilvl w:val="0"/>
          <w:numId w:val="2"/>
        </w:numPr>
        <w:spacing w:after="80"/>
      </w:pPr>
      <w:r>
        <w:rPr>
          <w:rFonts w:ascii="Arial" w:cs="Arial" w:eastAsia="Arial" w:hAnsi="Arial"/>
          <w:sz w:val="22"/>
          <w:szCs w:val="22"/>
        </w:rPr>
        <w:t xml:space="preserve">Remove or alter any proprietary notices, labels, or marks on the Software</w:t>
      </w:r>
    </w:p>
    <w:p>
      <w:pPr>
        <w:pStyle w:val="ListParagraph"/>
        <w:numPr>
          <w:ilvl w:val="0"/>
          <w:numId w:val="2"/>
        </w:numPr>
        <w:spacing w:after="80"/>
      </w:pPr>
      <w:r>
        <w:rPr>
          <w:rFonts w:ascii="Arial" w:cs="Arial" w:eastAsia="Arial" w:hAnsi="Arial"/>
          <w:sz w:val="22"/>
          <w:szCs w:val="22"/>
        </w:rPr>
        <w:t xml:space="preserve">Use the Software to provide bureau, time-sharing, or application service provider (ASP) services to third parties without a separate agreement</w:t>
      </w:r>
    </w:p>
    <w:p>
      <w:pPr>
        <w:pStyle w:val="ListParagraph"/>
        <w:numPr>
          <w:ilvl w:val="0"/>
          <w:numId w:val="2"/>
        </w:numPr>
        <w:spacing w:after="80"/>
      </w:pPr>
      <w:r>
        <w:rPr>
          <w:rFonts w:ascii="Arial" w:cs="Arial" w:eastAsia="Arial" w:hAnsi="Arial"/>
          <w:sz w:val="22"/>
          <w:szCs w:val="22"/>
        </w:rPr>
        <w:t xml:space="preserve">Export or transfer the Software outside the United States in violation of applicable export control laws</w:t>
      </w:r>
    </w:p>
    <w:p>
      <w:pPr>
        <w:pStyle w:val="ListParagraph"/>
        <w:numPr>
          <w:ilvl w:val="0"/>
          <w:numId w:val="2"/>
        </w:numPr>
        <w:spacing w:after="80"/>
      </w:pPr>
      <w:r>
        <w:rPr>
          <w:rFonts w:ascii="Arial" w:cs="Arial" w:eastAsia="Arial" w:hAnsi="Arial"/>
          <w:sz w:val="22"/>
          <w:szCs w:val="22"/>
        </w:rPr>
        <w:t xml:space="preserve">Use the Software in any manner that violates applicable law</w:t>
      </w:r>
    </w:p>
    <w:p>
      <w:r>
        <w:t xml:space="preserve"/>
      </w:r>
    </w:p>
    <w:p>
      <w:pPr>
        <w:pStyle w:val="Heading2"/>
      </w:pPr>
      <w:r>
        <w:rPr>
          <w:rFonts w:ascii="Arial" w:cs="Arial" w:eastAsia="Arial" w:hAnsi="Arial"/>
          <w:b/>
          <w:bCs/>
          <w:sz w:val="26"/>
          <w:szCs w:val="26"/>
        </w:rPr>
        <w:t xml:space="preserve">4. Operator Responsibilities</w:t>
      </w:r>
    </w:p>
    <w:p>
      <w:pPr>
        <w:spacing w:after="120"/>
      </w:pPr>
      <w:r>
        <w:rPr>
          <w:rFonts w:ascii="Arial" w:cs="Arial" w:eastAsia="Arial" w:hAnsi="Arial"/>
          <w:sz w:val="22"/>
          <w:szCs w:val="22"/>
        </w:rPr>
        <w:t xml:space="preserve">Operator is solely responsible for:</w:t>
      </w:r>
    </w:p>
    <w:p>
      <w:pPr>
        <w:pStyle w:val="ListParagraph"/>
        <w:numPr>
          <w:ilvl w:val="0"/>
          <w:numId w:val="2"/>
        </w:numPr>
        <w:spacing w:after="80"/>
      </w:pPr>
      <w:r>
        <w:rPr>
          <w:rFonts w:ascii="Arial" w:cs="Arial" w:eastAsia="Arial" w:hAnsi="Arial"/>
          <w:sz w:val="22"/>
          <w:szCs w:val="22"/>
        </w:rPr>
        <w:t xml:space="preserve">The installation, configuration, and maintenance of the Software and the systems on which it runs</w:t>
      </w:r>
    </w:p>
    <w:p>
      <w:pPr>
        <w:pStyle w:val="ListParagraph"/>
        <w:numPr>
          <w:ilvl w:val="0"/>
          <w:numId w:val="2"/>
        </w:numPr>
        <w:spacing w:after="80"/>
      </w:pPr>
      <w:r>
        <w:rPr>
          <w:rFonts w:ascii="Arial" w:cs="Arial" w:eastAsia="Arial" w:hAnsi="Arial"/>
          <w:sz w:val="22"/>
          <w:szCs w:val="22"/>
        </w:rPr>
        <w:t xml:space="preserve">The accuracy and legality of all data entered into the Software, including bowler information, scores, and financial data</w:t>
      </w:r>
    </w:p>
    <w:p>
      <w:pPr>
        <w:pStyle w:val="ListParagraph"/>
        <w:numPr>
          <w:ilvl w:val="0"/>
          <w:numId w:val="2"/>
        </w:numPr>
        <w:spacing w:after="80"/>
      </w:pPr>
      <w:r>
        <w:rPr>
          <w:rFonts w:ascii="Arial" w:cs="Arial" w:eastAsia="Arial" w:hAnsi="Arial"/>
          <w:sz w:val="22"/>
          <w:szCs w:val="22"/>
        </w:rPr>
        <w:t xml:space="preserve">Ensuring all tournaments operated through the Software reflect the results of bona fide competition and are free from manipulation, collusion, or fraud</w:t>
      </w:r>
    </w:p>
    <w:p>
      <w:pPr>
        <w:pStyle w:val="ListParagraph"/>
        <w:numPr>
          <w:ilvl w:val="0"/>
          <w:numId w:val="2"/>
        </w:numPr>
        <w:spacing w:after="80"/>
      </w:pPr>
      <w:r>
        <w:rPr>
          <w:rFonts w:ascii="Arial" w:cs="Arial" w:eastAsia="Arial" w:hAnsi="Arial"/>
          <w:sz w:val="22"/>
          <w:szCs w:val="22"/>
        </w:rPr>
        <w:t xml:space="preserve">Ensuring the Software is used in compliance with all applicable federal, state, and local laws and regulations, including those governing tournaments, prize distributions, and financial reporting</w:t>
      </w:r>
    </w:p>
    <w:p>
      <w:pPr>
        <w:pStyle w:val="ListParagraph"/>
        <w:numPr>
          <w:ilvl w:val="0"/>
          <w:numId w:val="2"/>
        </w:numPr>
        <w:spacing w:after="80"/>
      </w:pPr>
      <w:r>
        <w:rPr>
          <w:rFonts w:ascii="Arial" w:cs="Arial" w:eastAsia="Arial" w:hAnsi="Arial"/>
          <w:sz w:val="22"/>
          <w:szCs w:val="22"/>
        </w:rPr>
        <w:t xml:space="preserve">Obtaining any required licenses, permits, or approvals for operating bowling tournaments in their jurisdiction</w:t>
      </w:r>
    </w:p>
    <w:p>
      <w:pPr>
        <w:pStyle w:val="ListParagraph"/>
        <w:numPr>
          <w:ilvl w:val="0"/>
          <w:numId w:val="2"/>
        </w:numPr>
        <w:spacing w:after="80"/>
      </w:pPr>
      <w:r>
        <w:rPr>
          <w:rFonts w:ascii="Arial" w:cs="Arial" w:eastAsia="Arial" w:hAnsi="Arial"/>
          <w:sz w:val="22"/>
          <w:szCs w:val="22"/>
        </w:rPr>
        <w:t xml:space="preserve">Compliance with applicable data protection and privacy laws with respect to bowler information</w:t>
      </w:r>
    </w:p>
    <w:p>
      <w:pPr>
        <w:pStyle w:val="ListParagraph"/>
        <w:numPr>
          <w:ilvl w:val="0"/>
          <w:numId w:val="2"/>
        </w:numPr>
        <w:spacing w:after="80"/>
      </w:pPr>
      <w:r>
        <w:rPr>
          <w:rFonts w:ascii="Arial" w:cs="Arial" w:eastAsia="Arial" w:hAnsi="Arial"/>
          <w:sz w:val="22"/>
          <w:szCs w:val="22"/>
        </w:rPr>
        <w:t xml:space="preserve">Implementing and maintaining appropriate security measures for their deployment</w:t>
      </w:r>
    </w:p>
    <w:p>
      <w:pPr>
        <w:pStyle w:val="ListParagraph"/>
        <w:numPr>
          <w:ilvl w:val="0"/>
          <w:numId w:val="2"/>
        </w:numPr>
        <w:spacing w:after="80"/>
      </w:pPr>
      <w:r>
        <w:rPr>
          <w:rFonts w:ascii="Arial" w:cs="Arial" w:eastAsia="Arial" w:hAnsi="Arial"/>
          <w:sz w:val="22"/>
          <w:szCs w:val="22"/>
        </w:rPr>
        <w:t xml:space="preserve">Creating and maintaining appropriate backups of all data</w:t>
      </w:r>
    </w:p>
    <w:p>
      <w:r>
        <w:t xml:space="preserve"/>
      </w:r>
    </w:p>
    <w:p>
      <w:pPr>
        <w:pStyle w:val="Heading2"/>
      </w:pPr>
      <w:r>
        <w:rPr>
          <w:rFonts w:ascii="Arial" w:cs="Arial" w:eastAsia="Arial" w:hAnsi="Arial"/>
          <w:b/>
          <w:bCs/>
          <w:sz w:val="26"/>
          <w:szCs w:val="26"/>
        </w:rPr>
        <w:t xml:space="preserve">5. Financial and Regulatory Compliance</w:t>
      </w:r>
    </w:p>
    <w:p>
      <w:pPr>
        <w:spacing w:after="120"/>
      </w:pPr>
      <w:r>
        <w:rPr>
          <w:rFonts w:ascii="Arial" w:cs="Arial" w:eastAsia="Arial" w:hAnsi="Arial"/>
          <w:sz w:val="22"/>
          <w:szCs w:val="22"/>
        </w:rPr>
        <w:t xml:space="preserve">Operator acknowledges that BracketWorks is a software tool for tournament management and does not constitute legal, financial, or regulatory advice. Operator is solely responsible for compliance with all laws governing prize tournaments, entry fees, and payouts, including any applicable tax reporting obligations. Licensor makes no representation that use of the Software will ensure compliance with any particular law or regulation.</w:t>
      </w:r>
    </w:p>
    <w:p>
      <w:r>
        <w:t xml:space="preserve"/>
      </w:r>
    </w:p>
    <w:p>
      <w:pPr>
        <w:pStyle w:val="Heading2"/>
      </w:pPr>
      <w:r>
        <w:rPr>
          <w:rFonts w:ascii="Arial" w:cs="Arial" w:eastAsia="Arial" w:hAnsi="Arial"/>
          <w:b/>
          <w:bCs/>
          <w:sz w:val="26"/>
          <w:szCs w:val="26"/>
        </w:rPr>
        <w:t xml:space="preserve">6. Gambling and Gaming Law Compliance</w:t>
      </w:r>
    </w:p>
    <w:p>
      <w:pPr>
        <w:spacing w:after="120"/>
      </w:pPr>
      <w:r>
        <w:rPr>
          <w:rFonts w:ascii="Arial" w:cs="Arial" w:eastAsia="Arial" w:hAnsi="Arial"/>
          <w:sz w:val="22"/>
          <w:szCs w:val="22"/>
        </w:rPr>
        <w:t xml:space="preserve">Bowling bracket tournaments that involve entry fees and cash or prize payouts may be subject to federal, state, and local gambling, gaming, or prize-contest laws. The classification of such tournaments varies significantly by jurisdiction and is not determined by the use of this Software.</w:t>
      </w:r>
    </w:p>
    <w:p>
      <w:r>
        <w:t xml:space="preserve"/>
      </w:r>
    </w:p>
    <w:p>
      <w:pPr>
        <w:spacing w:after="120"/>
      </w:pPr>
      <w:r>
        <w:rPr>
          <w:rFonts w:ascii="Arial" w:cs="Arial" w:eastAsia="Arial" w:hAnsi="Arial"/>
          <w:sz w:val="22"/>
          <w:szCs w:val="22"/>
        </w:rPr>
        <w:t xml:space="preserve">Operator expressly acknowledges and agrees that:</w:t>
      </w:r>
    </w:p>
    <w:p>
      <w:pPr>
        <w:pStyle w:val="ListParagraph"/>
        <w:numPr>
          <w:ilvl w:val="0"/>
          <w:numId w:val="2"/>
        </w:numPr>
        <w:spacing w:after="80"/>
      </w:pPr>
      <w:r>
        <w:rPr>
          <w:rFonts w:ascii="Arial" w:cs="Arial" w:eastAsia="Arial" w:hAnsi="Arial"/>
          <w:sz w:val="22"/>
          <w:szCs w:val="22"/>
        </w:rPr>
        <w:t xml:space="preserve">BracketWorks is a tournament management and calculation tool only. Licensor makes no representation, warranty, or guarantee that any tournament format, entry fee structure, or payout arrangement facilitated through the Software is lawful in any jurisdiction.</w:t>
      </w:r>
    </w:p>
    <w:p>
      <w:pPr>
        <w:pStyle w:val="ListParagraph"/>
        <w:numPr>
          <w:ilvl w:val="0"/>
          <w:numId w:val="2"/>
        </w:numPr>
        <w:spacing w:after="80"/>
      </w:pPr>
      <w:r>
        <w:rPr>
          <w:rFonts w:ascii="Arial" w:cs="Arial" w:eastAsia="Arial" w:hAnsi="Arial"/>
          <w:sz w:val="22"/>
          <w:szCs w:val="22"/>
        </w:rPr>
        <w:t xml:space="preserve">Operator is solely and exclusively responsible for determining the legality of any tournament they operate, including compliance with all applicable federal, state, and local gambling statutes, gaming regulations, prize-contest laws, and licensing requirements.</w:t>
      </w:r>
    </w:p>
    <w:p>
      <w:pPr>
        <w:pStyle w:val="ListParagraph"/>
        <w:numPr>
          <w:ilvl w:val="0"/>
          <w:numId w:val="2"/>
        </w:numPr>
        <w:spacing w:after="80"/>
      </w:pPr>
      <w:r>
        <w:rPr>
          <w:rFonts w:ascii="Arial" w:cs="Arial" w:eastAsia="Arial" w:hAnsi="Arial"/>
          <w:sz w:val="22"/>
          <w:szCs w:val="22"/>
        </w:rPr>
        <w:t xml:space="preserve">Operator must obtain independent legal counsel before operating any entry-fee tournament with cash or prize payouts, particularly in states with strict gaming or gambling laws.</w:t>
      </w:r>
    </w:p>
    <w:p>
      <w:pPr>
        <w:pStyle w:val="ListParagraph"/>
        <w:numPr>
          <w:ilvl w:val="0"/>
          <w:numId w:val="2"/>
        </w:numPr>
        <w:spacing w:after="80"/>
      </w:pPr>
      <w:r>
        <w:rPr>
          <w:rFonts w:ascii="Arial" w:cs="Arial" w:eastAsia="Arial" w:hAnsi="Arial"/>
          <w:sz w:val="22"/>
          <w:szCs w:val="22"/>
        </w:rPr>
        <w:t xml:space="preserve">Operator shall not use the Software to facilitate any tournament that constitutes illegal gambling under applicable law.</w:t>
      </w:r>
    </w:p>
    <w:p>
      <w:pPr>
        <w:pStyle w:val="ListParagraph"/>
        <w:numPr>
          <w:ilvl w:val="0"/>
          <w:numId w:val="2"/>
        </w:numPr>
        <w:spacing w:after="80"/>
      </w:pPr>
      <w:r>
        <w:rPr>
          <w:rFonts w:ascii="Arial" w:cs="Arial" w:eastAsia="Arial" w:hAnsi="Arial"/>
          <w:sz w:val="22"/>
          <w:szCs w:val="22"/>
        </w:rPr>
        <w:t xml:space="preserve">Licensor shall have no liability whatsoever for any fines, penalties, legal costs, damages, or other consequences arising from Operator's failure to comply with applicable gambling or gaming laws.</w:t>
      </w:r>
    </w:p>
    <w:p>
      <w:r>
        <w:t xml:space="preserve"/>
      </w:r>
    </w:p>
    <w:p>
      <w:pPr>
        <w:spacing w:after="60"/>
      </w:pPr>
      <w:r>
        <w:rPr>
          <w:rFonts w:ascii="Arial" w:cs="Arial" w:eastAsia="Arial" w:hAnsi="Arial"/>
          <w:b/>
          <w:bCs/>
          <w:sz w:val="22"/>
          <w:szCs w:val="22"/>
        </w:rPr>
        <w:t xml:space="preserve">States Requiring Particular Attention</w:t>
      </w:r>
    </w:p>
    <w:p>
      <w:pPr>
        <w:spacing w:after="120"/>
      </w:pPr>
      <w:r>
        <w:rPr>
          <w:rFonts w:ascii="Arial" w:cs="Arial" w:eastAsia="Arial" w:hAnsi="Arial"/>
          <w:sz w:val="22"/>
          <w:szCs w:val="22"/>
        </w:rPr>
        <w:t xml:space="preserve">Operators in the following states should exercise heightened caution and seek specific legal counsel before operating entry-fee prize tournaments, as these jurisdictions have historically applied strict or broad interpretations of gambling statutes: Nevada, Utah, Hawaii, Alabama, and Tennessee. This list is not exhaustive and does not imply that tournament operations are permissible in states not listed. Laws change frequently and vary based on specific tournament formats and structures.</w:t>
      </w:r>
    </w:p>
    <w:p>
      <w:r>
        <w:t xml:space="preserve"/>
      </w:r>
    </w:p>
    <w:p>
      <w:pPr>
        <w:spacing w:after="60"/>
      </w:pPr>
      <w:r>
        <w:rPr>
          <w:rFonts w:ascii="Arial" w:cs="Arial" w:eastAsia="Arial" w:hAnsi="Arial"/>
          <w:b/>
          <w:bCs/>
          <w:sz w:val="22"/>
          <w:szCs w:val="22"/>
        </w:rPr>
        <w:t xml:space="preserve">Skill vs. Chance Determination</w:t>
      </w:r>
    </w:p>
    <w:p>
      <w:pPr>
        <w:spacing w:after="120"/>
      </w:pPr>
      <w:r>
        <w:rPr>
          <w:rFonts w:ascii="Arial" w:cs="Arial" w:eastAsia="Arial" w:hAnsi="Arial"/>
          <w:sz w:val="22"/>
          <w:szCs w:val="22"/>
        </w:rPr>
        <w:t xml:space="preserve">Many states distinguish between games of skill (potentially lawful) and games of chance (potentially unlawful gambling). Whether bowling bracket tournaments qualify as games of skill under a particular state's law depends on the specific rules, format, and applicable legal standards — not on the software used to manage them. Operator bears sole responsibility for making this determination in their jurisdiction.</w:t>
      </w:r>
    </w:p>
    <w:p>
      <w:r>
        <w:t xml:space="preserve"/>
      </w:r>
    </w:p>
    <w:p>
      <w:pPr>
        <w:pStyle w:val="Heading2"/>
      </w:pPr>
      <w:r>
        <w:rPr>
          <w:rFonts w:ascii="Arial" w:cs="Arial" w:eastAsia="Arial" w:hAnsi="Arial"/>
          <w:b/>
          <w:bCs/>
          <w:sz w:val="26"/>
          <w:szCs w:val="26"/>
        </w:rPr>
        <w:t xml:space="preserve">7. Subscription, Billing, and Updates</w:t>
      </w:r>
    </w:p>
    <w:p>
      <w:pPr>
        <w:spacing w:after="60"/>
      </w:pPr>
      <w:r>
        <w:rPr>
          <w:rFonts w:ascii="Arial" w:cs="Arial" w:eastAsia="Arial" w:hAnsi="Arial"/>
          <w:b/>
          <w:bCs/>
          <w:sz w:val="22"/>
          <w:szCs w:val="22"/>
        </w:rPr>
        <w:t xml:space="preserve">7.1 Subscription Plans</w:t>
      </w:r>
    </w:p>
    <w:p>
      <w:pPr>
        <w:spacing w:after="120"/>
      </w:pPr>
      <w:r>
        <w:rPr>
          <w:rFonts w:ascii="Arial" w:cs="Arial" w:eastAsia="Arial" w:hAnsi="Arial"/>
          <w:sz w:val="22"/>
          <w:szCs w:val="22"/>
        </w:rPr>
        <w:t xml:space="preserve">BracketWorks is licensed on a subscription basis, available in monthly and annual plans. Subscription fees and plan details are as specified in the applicable order documentation or pricing page at the time of purchase. All fees are in U.S. dollars.</w:t>
      </w:r>
    </w:p>
    <w:p>
      <w:r>
        <w:t xml:space="preserve"/>
      </w:r>
    </w:p>
    <w:p>
      <w:pPr>
        <w:spacing w:after="60"/>
      </w:pPr>
      <w:r>
        <w:rPr>
          <w:rFonts w:ascii="Arial" w:cs="Arial" w:eastAsia="Arial" w:hAnsi="Arial"/>
          <w:b/>
          <w:bCs/>
          <w:sz w:val="22"/>
          <w:szCs w:val="22"/>
        </w:rPr>
        <w:t xml:space="preserve">7.2 Renewal</w:t>
      </w:r>
    </w:p>
    <w:p>
      <w:pPr>
        <w:spacing w:after="120"/>
      </w:pPr>
      <w:r>
        <w:rPr>
          <w:rFonts w:ascii="Arial" w:cs="Arial" w:eastAsia="Arial" w:hAnsi="Arial"/>
          <w:sz w:val="22"/>
          <w:szCs w:val="22"/>
        </w:rPr>
        <w:t xml:space="preserve">Subscriptions may be set to auto-renew automatically at the end of each billing period, or Operator may elect to renew manually before the subscription expires. If auto-renew is enabled, Operator's payment method will be charged at the then-current subscription rate at the start of each new billing period unless Operator cancels prior to the renewal date. If manual renewal is selected and Operator does not renew before the expiration date, access to the Software will be suspended immediately upon expiration.</w:t>
      </w:r>
    </w:p>
    <w:p>
      <w:r>
        <w:t xml:space="preserve"/>
      </w:r>
    </w:p>
    <w:p>
      <w:pPr>
        <w:spacing w:after="60"/>
      </w:pPr>
      <w:r>
        <w:rPr>
          <w:rFonts w:ascii="Arial" w:cs="Arial" w:eastAsia="Arial" w:hAnsi="Arial"/>
          <w:b/>
          <w:bCs/>
          <w:sz w:val="22"/>
          <w:szCs w:val="22"/>
        </w:rPr>
        <w:t xml:space="preserve">7.3 Immediate Suspension on Lapse</w:t>
      </w:r>
    </w:p>
    <w:p>
      <w:pPr>
        <w:spacing w:after="120"/>
      </w:pPr>
      <w:r>
        <w:rPr>
          <w:rFonts w:ascii="Arial" w:cs="Arial" w:eastAsia="Arial" w:hAnsi="Arial"/>
          <w:sz w:val="22"/>
          <w:szCs w:val="22"/>
        </w:rPr>
        <w:t xml:space="preserve">If a subscription expires, is cancelled, or a payment fails for any reason, Operator's access to the Software will be suspended immediately without grace period or further notice. Data stored in Operator's installation will not be deleted automatically, but the Software will not be accessible until a valid subscription is reinstated.</w:t>
      </w:r>
    </w:p>
    <w:p>
      <w:r>
        <w:t xml:space="preserve"/>
      </w:r>
    </w:p>
    <w:p>
      <w:pPr>
        <w:spacing w:after="60"/>
      </w:pPr>
      <w:r>
        <w:rPr>
          <w:rFonts w:ascii="Arial" w:cs="Arial" w:eastAsia="Arial" w:hAnsi="Arial"/>
          <w:b/>
          <w:bCs/>
          <w:sz w:val="22"/>
          <w:szCs w:val="22"/>
        </w:rPr>
        <w:t xml:space="preserve">7.4 No Refunds</w:t>
      </w:r>
    </w:p>
    <w:p>
      <w:pPr>
        <w:spacing w:after="120"/>
      </w:pPr>
      <w:r>
        <w:rPr>
          <w:rFonts w:ascii="Arial" w:cs="Arial" w:eastAsia="Arial" w:hAnsi="Arial"/>
          <w:sz w:val="22"/>
          <w:szCs w:val="22"/>
        </w:rPr>
        <w:t xml:space="preserve">All subscription fees are non-refundable. No refunds or credits will be issued for any unused portion of a subscription period, including in the event of early cancellation, non-use, or termination of this Agreement for any reason.</w:t>
      </w:r>
    </w:p>
    <w:p>
      <w:r>
        <w:t xml:space="preserve"/>
      </w:r>
    </w:p>
    <w:p>
      <w:pPr>
        <w:spacing w:after="60"/>
      </w:pPr>
      <w:r>
        <w:rPr>
          <w:rFonts w:ascii="Arial" w:cs="Arial" w:eastAsia="Arial" w:hAnsi="Arial"/>
          <w:b/>
          <w:bCs/>
          <w:sz w:val="22"/>
          <w:szCs w:val="22"/>
        </w:rPr>
        <w:t xml:space="preserve">7.5 Price Changes</w:t>
      </w:r>
    </w:p>
    <w:p>
      <w:pPr>
        <w:spacing w:after="120"/>
      </w:pPr>
      <w:r>
        <w:rPr>
          <w:rFonts w:ascii="Arial" w:cs="Arial" w:eastAsia="Arial" w:hAnsi="Arial"/>
          <w:sz w:val="22"/>
          <w:szCs w:val="22"/>
        </w:rPr>
        <w:t xml:space="preserve">Licensor reserves the right to change subscription pricing at any time. Operator will receive at least thirty (30) days' prior written notice before any price change takes effect. Continued use of the Software after the effective date of a price change constitutes acceptance of the new pricing. If Operator does not agree to the new pricing, Operator may cancel their subscription before the change takes effect.</w:t>
      </w:r>
    </w:p>
    <w:p>
      <w:r>
        <w:t xml:space="preserve"/>
      </w:r>
    </w:p>
    <w:p>
      <w:pPr>
        <w:spacing w:after="60"/>
      </w:pPr>
      <w:r>
        <w:rPr>
          <w:rFonts w:ascii="Arial" w:cs="Arial" w:eastAsia="Arial" w:hAnsi="Arial"/>
          <w:b/>
          <w:bCs/>
          <w:sz w:val="22"/>
          <w:szCs w:val="22"/>
        </w:rPr>
        <w:t xml:space="preserve">7.6 Updates and Fixes</w:t>
      </w:r>
    </w:p>
    <w:p>
      <w:pPr>
        <w:spacing w:after="120"/>
      </w:pPr>
      <w:r>
        <w:rPr>
          <w:rFonts w:ascii="Arial" w:cs="Arial" w:eastAsia="Arial" w:hAnsi="Arial"/>
          <w:sz w:val="22"/>
          <w:szCs w:val="22"/>
        </w:rPr>
        <w:t xml:space="preserve">While Operator maintains an active subscription, Licensor will provide updates, bug fixes, and patches to the Software as they become available. Updates are included as part of the subscription and will be delivered at Licensor's discretion. Licensor does not guarantee the frequency of updates or that any specific fix or feature will be delivered within any particular timeframe. If Operator's subscription lapses, Operator will not receive further updates until a valid subscription is reinstated.</w:t>
      </w:r>
    </w:p>
    <w:p>
      <w:r>
        <w:t xml:space="preserve"/>
      </w:r>
    </w:p>
    <w:p>
      <w:pPr>
        <w:pStyle w:val="Heading2"/>
      </w:pPr>
      <w:r>
        <w:rPr>
          <w:rFonts w:ascii="Arial" w:cs="Arial" w:eastAsia="Arial" w:hAnsi="Arial"/>
          <w:b/>
          <w:bCs/>
          <w:sz w:val="26"/>
          <w:szCs w:val="26"/>
        </w:rPr>
        <w:t xml:space="preserve">8. Payment Processing</w:t>
      </w:r>
    </w:p>
    <w:p>
      <w:pPr>
        <w:spacing w:after="120"/>
      </w:pPr>
      <w:r>
        <w:rPr>
          <w:rFonts w:ascii="Arial" w:cs="Arial" w:eastAsia="Arial" w:hAnsi="Arial"/>
          <w:sz w:val="22"/>
          <w:szCs w:val="22"/>
        </w:rPr>
        <w:t xml:space="preserve">Subscription billing for BracketWorks is processed through one or more third-party payment processors ("Payment Processor"). By subscribing to BracketWorks, Operator agrees to provide accurate and current billing information and authorizes the applicable Payment Processor to charge the payment method provided for all applicable subscription fees.</w:t>
      </w:r>
    </w:p>
    <w:p>
      <w:r>
        <w:t xml:space="preserve"/>
      </w:r>
    </w:p>
    <w:p>
      <w:pPr>
        <w:spacing w:after="120"/>
      </w:pPr>
      <w:r>
        <w:rPr>
          <w:rFonts w:ascii="Arial" w:cs="Arial" w:eastAsia="Arial" w:hAnsi="Arial"/>
          <w:sz w:val="22"/>
          <w:szCs w:val="22"/>
        </w:rPr>
        <w:t xml:space="preserve">Operator acknowledges that:</w:t>
      </w:r>
    </w:p>
    <w:p>
      <w:pPr>
        <w:pStyle w:val="ListParagraph"/>
        <w:numPr>
          <w:ilvl w:val="0"/>
          <w:numId w:val="2"/>
        </w:numPr>
        <w:spacing w:after="80"/>
      </w:pPr>
      <w:r>
        <w:rPr>
          <w:rFonts w:ascii="Arial" w:cs="Arial" w:eastAsia="Arial" w:hAnsi="Arial"/>
          <w:sz w:val="22"/>
          <w:szCs w:val="22"/>
        </w:rPr>
        <w:t xml:space="preserve">Payment processing is governed by the Payment Processor's own terms of service and privacy policy, which are separate from this Agreement and which Operator should review before subscribing</w:t>
      </w:r>
    </w:p>
    <w:p>
      <w:pPr>
        <w:pStyle w:val="ListParagraph"/>
        <w:numPr>
          <w:ilvl w:val="0"/>
          <w:numId w:val="2"/>
        </w:numPr>
        <w:spacing w:after="80"/>
      </w:pPr>
      <w:r>
        <w:rPr>
          <w:rFonts w:ascii="Arial" w:cs="Arial" w:eastAsia="Arial" w:hAnsi="Arial"/>
          <w:sz w:val="22"/>
          <w:szCs w:val="22"/>
        </w:rPr>
        <w:t xml:space="preserve">Licensor does not store or have access to Operator's full payment card details; such information is handled directly by the Payment Processor in accordance with applicable PCI-DSS standards</w:t>
      </w:r>
    </w:p>
    <w:p>
      <w:pPr>
        <w:pStyle w:val="ListParagraph"/>
        <w:numPr>
          <w:ilvl w:val="0"/>
          <w:numId w:val="2"/>
        </w:numPr>
        <w:spacing w:after="80"/>
      </w:pPr>
      <w:r>
        <w:rPr>
          <w:rFonts w:ascii="Arial" w:cs="Arial" w:eastAsia="Arial" w:hAnsi="Arial"/>
          <w:sz w:val="22"/>
          <w:szCs w:val="22"/>
        </w:rPr>
        <w:t xml:space="preserve">Licensor is not liable for any errors, failures, or unauthorized charges by the Payment Processor</w:t>
      </w:r>
    </w:p>
    <w:p>
      <w:pPr>
        <w:pStyle w:val="ListParagraph"/>
        <w:numPr>
          <w:ilvl w:val="0"/>
          <w:numId w:val="2"/>
        </w:numPr>
        <w:spacing w:after="80"/>
      </w:pPr>
      <w:r>
        <w:rPr>
          <w:rFonts w:ascii="Arial" w:cs="Arial" w:eastAsia="Arial" w:hAnsi="Arial"/>
          <w:sz w:val="22"/>
          <w:szCs w:val="22"/>
        </w:rPr>
        <w:t xml:space="preserve">If a payment fails, Operator's access to the Software will be suspended immediately as described in Section 7.3</w:t>
      </w:r>
    </w:p>
    <w:p>
      <w:r>
        <w:t xml:space="preserve"/>
      </w:r>
    </w:p>
    <w:p>
      <w:pPr>
        <w:spacing w:after="120"/>
      </w:pPr>
      <w:r>
        <w:rPr>
          <w:rFonts w:ascii="Arial" w:cs="Arial" w:eastAsia="Arial" w:hAnsi="Arial"/>
          <w:sz w:val="22"/>
          <w:szCs w:val="22"/>
        </w:rPr>
        <w:t xml:space="preserve">Licensor will identify the applicable Payment Processor at the time of checkout. If Licensor changes the Payment Processor, Operator will be notified and may be required to re-enter billing information.</w:t>
      </w:r>
    </w:p>
    <w:p>
      <w:r>
        <w:t xml:space="preserve"/>
      </w:r>
    </w:p>
    <w:p>
      <w:pPr>
        <w:pStyle w:val="Heading2"/>
      </w:pPr>
      <w:r>
        <w:rPr>
          <w:rFonts w:ascii="Arial" w:cs="Arial" w:eastAsia="Arial" w:hAnsi="Arial"/>
          <w:b/>
          <w:bCs/>
          <w:sz w:val="26"/>
          <w:szCs w:val="26"/>
        </w:rPr>
        <w:t xml:space="preserve">9. Tournament Disputes</w:t>
      </w:r>
    </w:p>
    <w:p>
      <w:pPr>
        <w:spacing w:after="120"/>
      </w:pPr>
      <w:r>
        <w:rPr>
          <w:rFonts w:ascii="Arial" w:cs="Arial" w:eastAsia="Arial" w:hAnsi="Arial"/>
          <w:sz w:val="22"/>
          <w:szCs w:val="22"/>
        </w:rPr>
        <w:t xml:space="preserve">Licensor is not a party to any tournament operated through the Software and has no role in adjudicating disputes between operators and bowlers. Operator is solely responsible for establishing and communicating dispute resolution procedures to tournament participants. Licensor shall have no liability to any bowler or participant arising from any disputed score, result, bracket outcome, or payout. Operator agrees to indemnify and hold harmless Licensor from any claims brought by tournament participants arising from tournament operations.</w:t>
      </w:r>
    </w:p>
    <w:p>
      <w:r>
        <w:t xml:space="preserve"/>
      </w:r>
    </w:p>
    <w:p>
      <w:pPr>
        <w:pStyle w:val="Heading2"/>
      </w:pPr>
      <w:r>
        <w:rPr>
          <w:rFonts w:ascii="Arial" w:cs="Arial" w:eastAsia="Arial" w:hAnsi="Arial"/>
          <w:b/>
          <w:bCs/>
          <w:sz w:val="26"/>
          <w:szCs w:val="26"/>
        </w:rPr>
        <w:t xml:space="preserve">10. Geographic Scope and Export Restrictions</w:t>
      </w:r>
    </w:p>
    <w:p>
      <w:pPr>
        <w:spacing w:after="120"/>
      </w:pPr>
      <w:r>
        <w:rPr>
          <w:rFonts w:ascii="Arial" w:cs="Arial" w:eastAsia="Arial" w:hAnsi="Arial"/>
          <w:sz w:val="22"/>
          <w:szCs w:val="22"/>
        </w:rPr>
        <w:t xml:space="preserve">The Software is intended for use within the United States only. Operator may not export, re-export, or transfer the Software or any related documentation outside the United States without prior written consent from Licensor and in compliance with all applicable U.S. export control laws, including the Export Administration Regulations (EAR) and OFAC sanctions programs.</w:t>
      </w:r>
    </w:p>
    <w:p>
      <w:r>
        <w:t xml:space="preserve"/>
      </w:r>
    </w:p>
    <w:p>
      <w:pPr>
        <w:pStyle w:val="Heading2"/>
      </w:pPr>
      <w:r>
        <w:rPr>
          <w:rFonts w:ascii="Arial" w:cs="Arial" w:eastAsia="Arial" w:hAnsi="Arial"/>
          <w:b/>
          <w:bCs/>
          <w:sz w:val="26"/>
          <w:szCs w:val="26"/>
        </w:rPr>
        <w:t xml:space="preserve">11. Accessibility</w:t>
      </w:r>
    </w:p>
    <w:p>
      <w:pPr>
        <w:spacing w:after="120"/>
      </w:pPr>
      <w:r>
        <w:rPr>
          <w:rFonts w:ascii="Arial" w:cs="Arial" w:eastAsia="Arial" w:hAnsi="Arial"/>
          <w:sz w:val="22"/>
          <w:szCs w:val="22"/>
        </w:rPr>
        <w:t xml:space="preserve">The Software is not warranted or represented to comply with the Americans with Disabilities Act (ADA), Section 508 of the Rehabilitation Act, the Web Content Accessibility Guidelines (WCAG), or any other accessibility standard. Operators who are subject to accessibility requirements are solely responsible for evaluating whether the Software meets their applicable obligations. Licensor shall have no liability for any claim arising from the Software's failure to meet any accessibility standard.</w:t>
      </w:r>
    </w:p>
    <w:p>
      <w:r>
        <w:t xml:space="preserve"/>
      </w:r>
    </w:p>
    <w:p>
      <w:pPr>
        <w:pStyle w:val="Heading2"/>
      </w:pPr>
      <w:r>
        <w:rPr>
          <w:rFonts w:ascii="Arial" w:cs="Arial" w:eastAsia="Arial" w:hAnsi="Arial"/>
          <w:b/>
          <w:bCs/>
          <w:sz w:val="26"/>
          <w:szCs w:val="26"/>
        </w:rPr>
        <w:t xml:space="preserve">12. Intellectual Property</w:t>
      </w:r>
    </w:p>
    <w:p>
      <w:pPr>
        <w:spacing w:after="120"/>
      </w:pPr>
      <w:r>
        <w:rPr>
          <w:rFonts w:ascii="Arial" w:cs="Arial" w:eastAsia="Arial" w:hAnsi="Arial"/>
          <w:sz w:val="22"/>
          <w:szCs w:val="22"/>
        </w:rPr>
        <w:t xml:space="preserve">The Software, including all code, design, documentation, and related materials, is and remains the exclusive property of Licensor. This Agreement does not transfer any intellectual property rights to Operator. Operator agrees not to contest or challenge Licensor's ownership of the Software.</w:t>
      </w:r>
    </w:p>
    <w:p>
      <w:r>
        <w:t xml:space="preserve"/>
      </w:r>
    </w:p>
    <w:p>
      <w:pPr>
        <w:pStyle w:val="Heading2"/>
      </w:pPr>
      <w:r>
        <w:rPr>
          <w:rFonts w:ascii="Arial" w:cs="Arial" w:eastAsia="Arial" w:hAnsi="Arial"/>
          <w:b/>
          <w:bCs/>
          <w:sz w:val="26"/>
          <w:szCs w:val="26"/>
        </w:rPr>
        <w:t xml:space="preserve">13. Feedback and Suggestions</w:t>
      </w:r>
    </w:p>
    <w:p>
      <w:pPr>
        <w:spacing w:after="120"/>
      </w:pPr>
      <w:r>
        <w:rPr>
          <w:rFonts w:ascii="Arial" w:cs="Arial" w:eastAsia="Arial" w:hAnsi="Arial"/>
          <w:sz w:val="22"/>
          <w:szCs w:val="22"/>
        </w:rPr>
        <w:t xml:space="preserve">If Operator submits ideas, suggestions, feature requests, or other feedback regarding the Software ("Feedback"), such Feedback is provided voluntarily and without any expectation of compensation, credit, or confidentiality obligations on the part of Licensor. Licensor may freely use, implement, modify, and commercialize any Feedback without restriction, attribution, or payment. Operator represents that it has the right to submit any Feedback provided and that it does not infringe any third-party rights.</w:t>
      </w:r>
    </w:p>
    <w:p>
      <w:r>
        <w:t xml:space="preserve"/>
      </w:r>
    </w:p>
    <w:p>
      <w:pPr>
        <w:pStyle w:val="Heading2"/>
      </w:pPr>
      <w:r>
        <w:rPr>
          <w:rFonts w:ascii="Arial" w:cs="Arial" w:eastAsia="Arial" w:hAnsi="Arial"/>
          <w:b/>
          <w:bCs/>
          <w:sz w:val="26"/>
          <w:szCs w:val="26"/>
        </w:rPr>
        <w:t xml:space="preserve">14. Logo and Reference Rights</w:t>
      </w:r>
    </w:p>
    <w:p>
      <w:pPr>
        <w:spacing w:after="120"/>
      </w:pPr>
      <w:r>
        <w:rPr>
          <w:rFonts w:ascii="Arial" w:cs="Arial" w:eastAsia="Arial" w:hAnsi="Arial"/>
          <w:sz w:val="22"/>
          <w:szCs w:val="22"/>
        </w:rPr>
        <w:t xml:space="preserve">Operator grants Licensor the right to identify Operator as a customer or user of BracketWorks in Licensor's marketing materials, website, case studies, and promotional content, including the use of Operator's name and logo for such purposes. If Operator does not wish to be identified in this manner, Operator may opt out by providing written notice to Licensor at any time, and Licensor will remove such references within a reasonable time following receipt of notice.</w:t>
      </w:r>
    </w:p>
    <w:p>
      <w:r>
        <w:t xml:space="preserve"/>
      </w:r>
    </w:p>
    <w:p>
      <w:pPr>
        <w:pStyle w:val="Heading2"/>
      </w:pPr>
      <w:r>
        <w:rPr>
          <w:rFonts w:ascii="Arial" w:cs="Arial" w:eastAsia="Arial" w:hAnsi="Arial"/>
          <w:b/>
          <w:bCs/>
          <w:sz w:val="26"/>
          <w:szCs w:val="26"/>
        </w:rPr>
        <w:t xml:space="preserve">15. Confidentiality</w:t>
      </w:r>
    </w:p>
    <w:p>
      <w:pPr>
        <w:spacing w:after="120"/>
      </w:pPr>
      <w:r>
        <w:rPr>
          <w:rFonts w:ascii="Arial" w:cs="Arial" w:eastAsia="Arial" w:hAnsi="Arial"/>
          <w:sz w:val="22"/>
          <w:szCs w:val="22"/>
        </w:rPr>
        <w:t xml:space="preserve">Operator agrees to maintain the confidentiality of any non-public technical information, documentation, or other materials provided by Licensor in connection with the Software and to use such information solely for the purpose of exercising its rights under this Agreement.</w:t>
      </w:r>
    </w:p>
    <w:p>
      <w:r>
        <w:t xml:space="preserve"/>
      </w:r>
    </w:p>
    <w:p>
      <w:pPr>
        <w:pStyle w:val="Heading2"/>
      </w:pPr>
      <w:r>
        <w:rPr>
          <w:rFonts w:ascii="Arial" w:cs="Arial" w:eastAsia="Arial" w:hAnsi="Arial"/>
          <w:b/>
          <w:bCs/>
          <w:sz w:val="26"/>
          <w:szCs w:val="26"/>
        </w:rPr>
        <w:t xml:space="preserve">16. Term and Termination</w:t>
      </w:r>
    </w:p>
    <w:p>
      <w:pPr>
        <w:spacing w:after="120"/>
      </w:pPr>
      <w:r>
        <w:rPr>
          <w:rFonts w:ascii="Arial" w:cs="Arial" w:eastAsia="Arial" w:hAnsi="Arial"/>
          <w:sz w:val="22"/>
          <w:szCs w:val="22"/>
        </w:rPr>
        <w:t xml:space="preserve">This Agreement is effective upon installation or use of the Software and continues until terminated. Either party may terminate this Agreement upon written notice if the other party materially breaches this Agreement and fails to cure such breach within thirty (30) days of written notice. Licensor may terminate this Agreement immediately if Operator violates Section 3 (Restrictions) or Section 6 (Gambling and Gaming Law Compliance), or if Operator's account is suspended for any of the reasons described in the Terms of Use. Upon termination, Operator must cease all use of the Software.</w:t>
      </w:r>
    </w:p>
    <w:p>
      <w:r>
        <w:t xml:space="preserve"/>
      </w:r>
    </w:p>
    <w:p>
      <w:pPr>
        <w:pStyle w:val="Heading2"/>
      </w:pPr>
      <w:r>
        <w:rPr>
          <w:rFonts w:ascii="Arial" w:cs="Arial" w:eastAsia="Arial" w:hAnsi="Arial"/>
          <w:b/>
          <w:bCs/>
          <w:sz w:val="26"/>
          <w:szCs w:val="26"/>
        </w:rPr>
        <w:t xml:space="preserve">17. Force Majeure</w:t>
      </w:r>
    </w:p>
    <w:p>
      <w:pPr>
        <w:spacing w:after="120"/>
      </w:pPr>
      <w:r>
        <w:rPr>
          <w:rFonts w:ascii="Arial" w:cs="Arial" w:eastAsia="Arial" w:hAnsi="Arial"/>
          <w:sz w:val="22"/>
          <w:szCs w:val="22"/>
        </w:rPr>
        <w:t xml:space="preserve">Neither party shall be liable for any delay or failure to perform any obligation under this Agreement to the extent such delay or failure results from causes beyond that party's reasonable control, including but not limited to natural disasters, acts of God, war, terrorism, civil unrest, government action, internet or power outages, or other events of force majeure. Obligations are suspended for the duration of the force majeure event.</w:t>
      </w:r>
    </w:p>
    <w:p>
      <w:r>
        <w:t xml:space="preserve"/>
      </w:r>
    </w:p>
    <w:p>
      <w:pPr>
        <w:pStyle w:val="Heading2"/>
      </w:pPr>
      <w:r>
        <w:rPr>
          <w:rFonts w:ascii="Arial" w:cs="Arial" w:eastAsia="Arial" w:hAnsi="Arial"/>
          <w:b/>
          <w:bCs/>
          <w:sz w:val="26"/>
          <w:szCs w:val="26"/>
        </w:rPr>
        <w:t xml:space="preserve">18. Disclaimer of Warranties</w:t>
      </w:r>
    </w:p>
    <w:p>
      <w:pPr>
        <w:spacing w:after="120"/>
      </w:pPr>
      <w:r>
        <w:rPr>
          <w:rFonts w:ascii="Arial" w:cs="Arial" w:eastAsia="Arial" w:hAnsi="Arial"/>
          <w:sz w:val="22"/>
          <w:szCs w:val="22"/>
        </w:rPr>
        <w:t xml:space="preserve">THE SOFTWARE IS PROVIDED "AS IS" WITHOUT WARRANTY OF ANY KIND, EITHER EXPRESS OR IMPLIED. LICENSOR EXPRESSLY DISCLAIMS ALL WARRANTIES, INCLUDING THE IMPLIED WARRANTIES OF MERCHANTABILITY, FITNESS FOR A PARTICULAR PURPOSE, AND NON-INFRINGEMENT. LICENSOR DOES NOT WARRANT THAT THE SOFTWARE WILL MEET OPERATOR'S REQUIREMENTS, OPERATE WITHOUT INTERRUPTION, OR BE ERROR-FREE.</w:t>
      </w:r>
    </w:p>
    <w:p>
      <w:r>
        <w:t xml:space="preserve"/>
      </w:r>
    </w:p>
    <w:p>
      <w:pPr>
        <w:pStyle w:val="Heading2"/>
      </w:pPr>
      <w:r>
        <w:rPr>
          <w:rFonts w:ascii="Arial" w:cs="Arial" w:eastAsia="Arial" w:hAnsi="Arial"/>
          <w:b/>
          <w:bCs/>
          <w:sz w:val="26"/>
          <w:szCs w:val="26"/>
        </w:rPr>
        <w:t xml:space="preserve">19. Limitation of Liability</w:t>
      </w:r>
    </w:p>
    <w:p>
      <w:pPr>
        <w:spacing w:after="120"/>
      </w:pPr>
      <w:r>
        <w:rPr>
          <w:rFonts w:ascii="Arial" w:cs="Arial" w:eastAsia="Arial" w:hAnsi="Arial"/>
          <w:sz w:val="22"/>
          <w:szCs w:val="22"/>
        </w:rPr>
        <w:t xml:space="preserve">TO THE MAXIMUM EXTENT PERMITTED BY APPLICABLE LAW, LICENSOR'S TOTAL LIABILITY TO OPERATOR FOR ANY CLAIM ARISING OUT OF OR RELATED TO THIS AGREEMENT OR THE SOFTWARE SHALL NOT EXCEED THE GREATER OF (A) ONE HUNDRED DOLLARS ($100.00) OR (B) THE TOTAL SUBSCRIPTION FEES PAID BY OPERATOR TO LICENSOR IN THE THREE (3) MONTHS IMMEDIATELY PRECEDING THE EVENT GIVING RISE TO THE CLAIM. IN NO EVENT SHALL LICENSOR BE LIABLE FOR INDIRECT, INCIDENTAL, SPECIAL, CONSEQUENTIAL, OR PUNITIVE DAMAGES, INCLUDING LOSS OF PROFITS OR DATA, EVEN IF LICENSOR HAS BEEN ADVISED OF THE POSSIBILITY OF SUCH DAMAGES.</w:t>
      </w:r>
    </w:p>
    <w:p>
      <w:r>
        <w:t xml:space="preserve"/>
      </w:r>
    </w:p>
    <w:p>
      <w:pPr>
        <w:pStyle w:val="Heading2"/>
      </w:pPr>
      <w:r>
        <w:rPr>
          <w:rFonts w:ascii="Arial" w:cs="Arial" w:eastAsia="Arial" w:hAnsi="Arial"/>
          <w:b/>
          <w:bCs/>
          <w:sz w:val="26"/>
          <w:szCs w:val="26"/>
        </w:rPr>
        <w:t xml:space="preserve">20. Indemnification</w:t>
      </w:r>
    </w:p>
    <w:p>
      <w:pPr>
        <w:spacing w:after="120"/>
      </w:pPr>
      <w:r>
        <w:rPr>
          <w:rFonts w:ascii="Arial" w:cs="Arial" w:eastAsia="Arial" w:hAnsi="Arial"/>
          <w:sz w:val="22"/>
          <w:szCs w:val="22"/>
        </w:rPr>
        <w:t xml:space="preserve">Operator agrees to indemnify, defend, and hold harmless Licensor and its officers, employees, and agents from and against any claims, damages, liabilities, costs, and expenses (including reasonable attorneys' fees) arising from: (a) Operator's use of the Software; (b) Operator's violation of this Agreement; (c) Operator's violation of any applicable law, including gambling and gaming statutes; (d) any third-party claims arising from data entered into or managed through the Software; or (e) any claims by tournament participants arising from tournament operations, disputes, or payouts.</w:t>
      </w:r>
    </w:p>
    <w:p>
      <w:r>
        <w:t xml:space="preserve"/>
      </w:r>
    </w:p>
    <w:p>
      <w:pPr>
        <w:pStyle w:val="Heading2"/>
      </w:pPr>
      <w:r>
        <w:rPr>
          <w:rFonts w:ascii="Arial" w:cs="Arial" w:eastAsia="Arial" w:hAnsi="Arial"/>
          <w:b/>
          <w:bCs/>
          <w:sz w:val="26"/>
          <w:szCs w:val="26"/>
        </w:rPr>
        <w:t xml:space="preserve">21. Dispute Resolution and Arbitration</w:t>
      </w:r>
    </w:p>
    <w:p>
      <w:pPr>
        <w:spacing w:after="120"/>
      </w:pPr>
      <w:r>
        <w:rPr>
          <w:rFonts w:ascii="Arial" w:cs="Arial" w:eastAsia="Arial" w:hAnsi="Arial"/>
          <w:sz w:val="22"/>
          <w:szCs w:val="22"/>
        </w:rPr>
        <w:t xml:space="preserve">PLEASE READ THIS SECTION CAREFULLY. IT AFFECTS YOUR LEGAL RIGHTS.</w:t>
      </w:r>
    </w:p>
    <w:p>
      <w:r>
        <w:t xml:space="preserve"/>
      </w:r>
    </w:p>
    <w:p>
      <w:pPr>
        <w:spacing w:after="120"/>
      </w:pPr>
      <w:r>
        <w:rPr>
          <w:rFonts w:ascii="Arial" w:cs="Arial" w:eastAsia="Arial" w:hAnsi="Arial"/>
          <w:sz w:val="22"/>
          <w:szCs w:val="22"/>
        </w:rPr>
        <w:t xml:space="preserve">Any dispute, claim, or controversy arising out of or relating to this Agreement or the Software that cannot be resolved through good-faith negotiation within thirty (30) days shall be resolved by binding individual arbitration administered under the rules of the American Arbitration Association (AAA) or a mutually agreed arbitration provider. The arbitration shall be conducted in the governing jurisdiction. The arbitrator's decision shall be final and binding and may be entered as a judgment in any court of competent jurisdiction.</w:t>
      </w:r>
    </w:p>
    <w:p>
      <w:r>
        <w:t xml:space="preserve"/>
      </w:r>
    </w:p>
    <w:p>
      <w:pPr>
        <w:spacing w:after="120"/>
      </w:pPr>
      <w:r>
        <w:rPr>
          <w:rFonts w:ascii="Arial" w:cs="Arial" w:eastAsia="Arial" w:hAnsi="Arial"/>
          <w:sz w:val="22"/>
          <w:szCs w:val="22"/>
        </w:rPr>
        <w:t xml:space="preserve">CLASS ACTION WAIVER: Each party waives any right to bring or participate in a class action, class arbitration, or representative proceeding of any kind. All claims must be brought solely on an individual basis.</w:t>
      </w:r>
    </w:p>
    <w:p>
      <w:r>
        <w:t xml:space="preserve"/>
      </w:r>
    </w:p>
    <w:p>
      <w:pPr>
        <w:spacing w:after="120"/>
      </w:pPr>
      <w:r>
        <w:rPr>
          <w:rFonts w:ascii="Arial" w:cs="Arial" w:eastAsia="Arial" w:hAnsi="Arial"/>
          <w:sz w:val="22"/>
          <w:szCs w:val="22"/>
        </w:rPr>
        <w:t xml:space="preserve">Nothing in this section prevents either party from seeking emergency injunctive or equitable relief in a court of competent jurisdiction to prevent irreparable harm pending arbitration.</w:t>
      </w:r>
    </w:p>
    <w:p>
      <w:r>
        <w:t xml:space="preserve"/>
      </w:r>
    </w:p>
    <w:p>
      <w:pPr>
        <w:pStyle w:val="Heading2"/>
      </w:pPr>
      <w:r>
        <w:rPr>
          <w:rFonts w:ascii="Arial" w:cs="Arial" w:eastAsia="Arial" w:hAnsi="Arial"/>
          <w:b/>
          <w:bCs/>
          <w:sz w:val="26"/>
          <w:szCs w:val="26"/>
        </w:rPr>
        <w:t xml:space="preserve">22. Governing Law</w:t>
      </w:r>
    </w:p>
    <w:p>
      <w:pPr>
        <w:spacing w:after="120"/>
      </w:pPr>
      <w:r>
        <w:rPr>
          <w:rFonts w:ascii="Arial" w:cs="Arial" w:eastAsia="Arial" w:hAnsi="Arial"/>
          <w:sz w:val="22"/>
          <w:szCs w:val="22"/>
        </w:rPr>
        <w:t xml:space="preserve">This Agreement shall be governed by and construed in accordance with the laws of the applicable jurisdiction, without regard to its conflict of law provisions.</w:t>
      </w:r>
    </w:p>
    <w:p>
      <w:r>
        <w:t xml:space="preserve"/>
      </w:r>
    </w:p>
    <w:p>
      <w:pPr>
        <w:pStyle w:val="Heading2"/>
      </w:pPr>
      <w:r>
        <w:rPr>
          <w:rFonts w:ascii="Arial" w:cs="Arial" w:eastAsia="Arial" w:hAnsi="Arial"/>
          <w:b/>
          <w:bCs/>
          <w:sz w:val="26"/>
          <w:szCs w:val="26"/>
        </w:rPr>
        <w:t xml:space="preserve">23. Entire Agreement</w:t>
      </w:r>
    </w:p>
    <w:p>
      <w:pPr>
        <w:spacing w:after="120"/>
      </w:pPr>
      <w:r>
        <w:rPr>
          <w:rFonts w:ascii="Arial" w:cs="Arial" w:eastAsia="Arial" w:hAnsi="Arial"/>
          <w:sz w:val="22"/>
          <w:szCs w:val="22"/>
        </w:rPr>
        <w:t xml:space="preserve">This Agreement constitutes the entire agreement between Licensor and Operator regarding the Software and supersedes all prior and contemporaneous understandings, representations, and agreements. This Agreement may be modified only in writing signed by both parties.</w:t>
      </w:r>
    </w:p>
    <w:p>
      <w:r>
        <w:t xml:space="preserve"/>
      </w:r>
    </w:p>
    <w:p>
      <w:pPr>
        <w:pStyle w:val="Heading2"/>
      </w:pPr>
      <w:r>
        <w:rPr>
          <w:rFonts w:ascii="Arial" w:cs="Arial" w:eastAsia="Arial" w:hAnsi="Arial"/>
          <w:b/>
          <w:bCs/>
          <w:sz w:val="26"/>
          <w:szCs w:val="26"/>
        </w:rPr>
        <w:t xml:space="preserve">24. Severability</w:t>
      </w:r>
    </w:p>
    <w:p>
      <w:pPr>
        <w:spacing w:after="120"/>
      </w:pPr>
      <w:r>
        <w:rPr>
          <w:rFonts w:ascii="Arial" w:cs="Arial" w:eastAsia="Arial" w:hAnsi="Arial"/>
          <w:sz w:val="22"/>
          <w:szCs w:val="22"/>
        </w:rPr>
        <w:t xml:space="preserve">If any provision of this Agreement is found to be unenforceable or invalid, that provision shall be limited or eliminated to the minimum extent necessary so that the remainder of the Agreement shall otherwise remain in full force and effect.</w:t>
      </w:r>
    </w:p>
    <w:p>
      <w:r>
        <w:t xml:space="preserve"/>
      </w:r>
    </w:p>
    <w:p>
      <w:pPr>
        <w:pStyle w:val="Heading2"/>
      </w:pPr>
      <w:r>
        <w:rPr>
          <w:rFonts w:ascii="Arial" w:cs="Arial" w:eastAsia="Arial" w:hAnsi="Arial"/>
          <w:b/>
          <w:bCs/>
          <w:sz w:val="26"/>
          <w:szCs w:val="26"/>
        </w:rPr>
        <w:t xml:space="preserve">25. Contact Information</w:t>
      </w:r>
    </w:p>
    <w:p>
      <w:pPr>
        <w:spacing w:after="120"/>
      </w:pPr>
      <w:r>
        <w:rPr>
          <w:rFonts w:ascii="Arial" w:cs="Arial" w:eastAsia="Arial" w:hAnsi="Arial"/>
          <w:sz w:val="22"/>
          <w:szCs w:val="22"/>
        </w:rPr>
        <w:t xml:space="preserve">Notices or communications under this Agreement should be sent to the contact information provided at the time of license issuance.</w:t>
      </w:r>
    </w:p>
    <w:p>
      <w:r>
        <w:t xml:space="preserve"/>
      </w:r>
    </w:p>
    <w:p>
      <w:r>
        <w:t xml:space="preserve"/>
      </w:r>
    </w:p>
    <w:p>
      <w:pPr>
        <w:pBdr>
          <w:top w:val="single" w:color="CCCCCC" w:sz="4" w:space="1"/>
        </w:pBdr>
        <w:spacing w:before="480"/>
      </w:pPr>
      <w:r>
        <w:rPr>
          <w:rFonts w:ascii="Arial" w:cs="Arial" w:eastAsia="Arial" w:hAnsi="Arial"/>
          <w:sz w:val="22"/>
          <w:szCs w:val="22"/>
        </w:rPr>
        <w:t xml:space="preserve">Operator Signature: ________________________   Date: _______________</w:t>
      </w:r>
    </w:p>
    <w:p>
      <w:r>
        <w:t xml:space="preserve"/>
      </w:r>
    </w:p>
    <w:p>
      <w:pPr>
        <w:spacing w:after="120"/>
      </w:pPr>
      <w:r>
        <w:rPr>
          <w:rFonts w:ascii="Arial" w:cs="Arial" w:eastAsia="Arial" w:hAnsi="Arial"/>
          <w:sz w:val="22"/>
          <w:szCs w:val="22"/>
        </w:rPr>
        <w:t xml:space="preserve">Operator Name (Print): ________________________________________________</w:t>
      </w:r>
    </w:p>
    <w:p>
      <w:r>
        <w:t xml:space="preserve"/>
      </w:r>
    </w:p>
    <w:p>
      <w:pPr>
        <w:spacing w:after="120"/>
      </w:pPr>
      <w:r>
        <w:rPr>
          <w:rFonts w:ascii="Arial" w:cs="Arial" w:eastAsia="Arial" w:hAnsi="Arial"/>
          <w:sz w:val="22"/>
          <w:szCs w:val="22"/>
        </w:rPr>
        <w:t xml:space="preserve">Organization: ________________________________________________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2026-05-08T03:31:29.344Z</dcterms:created>
  <dcterms:modified xsi:type="dcterms:W3CDTF">2026-05-08T03:31:29.344Z</dcterms:modified>
</cp:coreProperties>
</file>

<file path=docProps/custom.xml><?xml version="1.0" encoding="utf-8"?>
<Properties xmlns="http://schemas.openxmlformats.org/officeDocument/2006/custom-properties" xmlns:vt="http://schemas.openxmlformats.org/officeDocument/2006/docPropsVTypes"/>
</file>