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Блинов</w:t>
      </w:r>
      <w:r>
        <w:t xml:space="preserve"> </w:t>
      </w:r>
      <w:r>
        <w:t xml:space="preserve">И.И.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Гистограммы распределения с наложенными теоретическими кривыми плотности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 только под главной диагональю,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числами.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Ob.ot.t.2017</w:t>
      </w:r>
      <w:r>
        <w:t xml:space="preserve"> </w:t>
      </w:r>
      <w:r>
        <w:t xml:space="preserve">- Оборот розничной торговли на душу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ind.price.2017</w:t>
      </w:r>
      <w:r>
        <w:t xml:space="preserve"> </w:t>
      </w:r>
      <w:r>
        <w:t xml:space="preserve">- Число малых предприятий на 10000 человек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izm.sr.2017</w:t>
      </w:r>
      <w:r>
        <w:t xml:space="preserve"> </w:t>
      </w:r>
      <w:r>
        <w:t xml:space="preserve">- Использование информационных и коммуникационных технологий в организациях: персональные компьютеры</w:t>
      </w:r>
    </w:p>
    <w:p>
      <w:pPr>
        <w:numPr>
          <w:numId w:val="1002"/>
          <w:ilvl w:val="0"/>
        </w:numPr>
      </w:pPr>
      <w:r>
        <w:rPr>
          <w:i/>
        </w:rPr>
        <w:t xml:space="preserve">ind.phis.2016</w:t>
      </w:r>
      <w:r>
        <w:t xml:space="preserve"> </w:t>
      </w:r>
      <w:r>
        <w:t xml:space="preserve">- Расходы консолидированных бюджетов субъектов Российской Федерации: всего</w:t>
      </w:r>
    </w:p>
    <w:p>
      <w:pPr>
        <w:numPr>
          <w:numId w:val="1002"/>
          <w:ilvl w:val="0"/>
        </w:numPr>
      </w:pPr>
      <w:r>
        <w:rPr>
          <w:i/>
        </w:rPr>
        <w:t xml:space="preserve">sum.ub.2017</w:t>
      </w:r>
      <w:r>
        <w:t xml:space="preserve"> </w:t>
      </w:r>
      <w:r>
        <w:t xml:space="preserve">- Реальные денежные доходы населения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Ob.ot.t.2017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ind.price.2017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izm.sr.2017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ind.phis.2016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sum.ub.2017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466588.5</w:t>
            </w:r>
          </w:p>
        </w:tc>
        <w:tc>
          <w:p>
            <w:pPr>
              <w:pStyle w:val="Compact"/>
              <w:jc w:val="right"/>
            </w:pPr>
            <w:r>
              <w:t xml:space="preserve">103.0</w:t>
            </w:r>
          </w:p>
        </w:tc>
        <w:tc>
          <w:p>
            <w:pPr>
              <w:pStyle w:val="Compact"/>
              <w:jc w:val="right"/>
            </w:pPr>
            <w:r>
              <w:t xml:space="preserve">99.4</w:t>
            </w:r>
          </w:p>
        </w:tc>
        <w:tc>
          <w:p>
            <w:pPr>
              <w:pStyle w:val="Compact"/>
              <w:jc w:val="right"/>
            </w:pPr>
            <w:r>
              <w:t xml:space="preserve">100.6</w:t>
            </w:r>
          </w:p>
        </w:tc>
        <w:tc>
          <w:p>
            <w:pPr>
              <w:pStyle w:val="Compact"/>
              <w:jc w:val="right"/>
            </w:pPr>
            <w:r>
              <w:t xml:space="preserve">14521.0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744975.0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45042.5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159.7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310.2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гистограмму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андерсона-дарлинга-на-нормальность"/>
      <w:r>
        <w:t xml:space="preserve">Тест Андерсона-Дарлинга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Ob.ot.t.2017.A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ind.price.2017.A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izm.sr.2017.A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ind.phis.2016.A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sum.ub.2017.A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9.0534</w:t>
            </w:r>
          </w:p>
        </w:tc>
        <w:tc>
          <w:p>
            <w:pPr>
              <w:pStyle w:val="Compact"/>
              <w:jc w:val="right"/>
            </w:pPr>
            <w:r>
              <w:t xml:space="preserve">1.2568</w:t>
            </w:r>
          </w:p>
        </w:tc>
        <w:tc>
          <w:p>
            <w:pPr>
              <w:pStyle w:val="Compact"/>
              <w:jc w:val="right"/>
            </w:pPr>
            <w:r>
              <w:t xml:space="preserve">0.6950</w:t>
            </w:r>
          </w:p>
        </w:tc>
        <w:tc>
          <w:p>
            <w:pPr>
              <w:pStyle w:val="Compact"/>
              <w:jc w:val="right"/>
            </w:pPr>
            <w:r>
              <w:t xml:space="preserve">0.4010</w:t>
            </w:r>
          </w:p>
        </w:tc>
        <w:tc>
          <w:p>
            <w:pPr>
              <w:pStyle w:val="Compact"/>
              <w:jc w:val="right"/>
            </w:pPr>
            <w:r>
              <w:t xml:space="preserve">19.5527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  <w:tc>
          <w:p>
            <w:pPr>
              <w:pStyle w:val="Compact"/>
              <w:jc w:val="right"/>
            </w:pPr>
            <w:r>
              <w:t xml:space="preserve">0.0671</w:t>
            </w:r>
          </w:p>
        </w:tc>
        <w:tc>
          <w:p>
            <w:pPr>
              <w:pStyle w:val="Compact"/>
              <w:jc w:val="right"/>
            </w:pPr>
            <w:r>
              <w:t xml:space="preserve">0.3534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izm.sr.2017, ind.phis.2016</w:t>
      </w:r>
      <w:r>
        <w:rPr>
          <w:i/>
        </w:rPr>
        <w:t xml:space="preserve">”</w:t>
      </w:r>
      <w:r>
        <w:t xml:space="preserve">, так как остальные p-значения &lt; 0.05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Единственная значимая корреляция наблюдается между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izm.sr.2017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ind.phis.2016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Ob.ot.t.2017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ind.price.2017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izm.sr.2017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ind.phis.2016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sum.ub.2017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Построим коробчатые диаграммы (совместим коробки для всех переменных на одном графике)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38bd9c34da2fdc964d7c309b04dedd8f1783e9c"/>
      <w:r>
        <w:t xml:space="preserve">Тест Андерсона-Дарлинга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Ob.ot.t.2017.A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ind.price.2017.A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izm.sr.2017.A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ind.phis.2016.A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sum.ub.2017.A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1.4729</w:t>
            </w:r>
          </w:p>
        </w:tc>
        <w:tc>
          <w:p>
            <w:pPr>
              <w:pStyle w:val="Compact"/>
              <w:jc w:val="right"/>
            </w:pPr>
            <w:r>
              <w:t xml:space="preserve">1.0213</w:t>
            </w:r>
          </w:p>
        </w:tc>
        <w:tc>
          <w:p>
            <w:pPr>
              <w:pStyle w:val="Compact"/>
              <w:jc w:val="right"/>
            </w:pPr>
            <w:r>
              <w:t xml:space="preserve">0.5977</w:t>
            </w:r>
          </w:p>
        </w:tc>
        <w:tc>
          <w:p>
            <w:pPr>
              <w:pStyle w:val="Compact"/>
              <w:jc w:val="right"/>
            </w:pPr>
            <w:r>
              <w:t xml:space="preserve">0.4394</w:t>
            </w:r>
          </w:p>
        </w:tc>
        <w:tc>
          <w:p>
            <w:pPr>
              <w:pStyle w:val="Compact"/>
              <w:jc w:val="right"/>
            </w:pPr>
            <w:r>
              <w:t xml:space="preserve">0.9272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p>
            <w:pPr>
              <w:pStyle w:val="Compact"/>
              <w:jc w:val="right"/>
            </w:pPr>
            <w:r>
              <w:t xml:space="preserve">0.1172</w:t>
            </w:r>
          </w:p>
        </w:tc>
        <w:tc>
          <w:p>
            <w:pPr>
              <w:pStyle w:val="Compact"/>
              <w:jc w:val="right"/>
            </w:pPr>
            <w:r>
              <w:t xml:space="preserve">0.2860</w:t>
            </w:r>
          </w:p>
        </w:tc>
        <w:tc>
          <w:p>
            <w:pPr>
              <w:pStyle w:val="Compact"/>
              <w:jc w:val="right"/>
            </w:pPr>
            <w:r>
              <w:t xml:space="preserve">0.0177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Андерсона-Дарлинга на нормальность распредления логарифмированных переменных, при уровне значимости 0,05, отвергаются первые три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Ob.ot.t.2017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ind.price.2017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sum.ub.2017</w:t>
      </w:r>
      <w:r>
        <w:rPr>
          <w:i/>
        </w:rPr>
        <w:t xml:space="preserve">’</w:t>
      </w:r>
      <w:r>
        <w:t xml:space="preserve">, т.к. P-значения &lt; 0.05. А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ind.phis.2016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izm.sr.2017</w:t>
      </w:r>
      <w:r>
        <w:rPr>
          <w:i/>
        </w:rPr>
        <w:t xml:space="preserve">’</w:t>
      </w:r>
      <w:r>
        <w:t xml:space="preserve"> </w:t>
      </w:r>
      <w:r>
        <w:t xml:space="preserve">не отвергаются.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Ob.ot.t.2017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sum.ub.2017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Блинов И.И.</dc:creator>
  <cp:keywords/>
  <dcterms:created xsi:type="dcterms:W3CDTF">2020-11-13T13:42:02Z</dcterms:created>
  <dcterms:modified xsi:type="dcterms:W3CDTF">2020-11-13T13:42:02Z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