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B84" w:rsidRPr="0012195F" w:rsidRDefault="006B2B84" w:rsidP="006B2B8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UBLIQUE </w:t>
      </w:r>
      <w:r w:rsidRPr="0012195F">
        <w:rPr>
          <w:rFonts w:ascii="Times New Roman" w:hAnsi="Times New Roman" w:cs="Times New Roman"/>
          <w:b/>
          <w:sz w:val="28"/>
          <w:szCs w:val="28"/>
        </w:rPr>
        <w:t>DEMOCRATIQUE DU CONGO</w:t>
      </w:r>
    </w:p>
    <w:p w:rsidR="006B2B84" w:rsidRPr="0012195F" w:rsidRDefault="006B2B84" w:rsidP="006B2B84">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ENSEIGNEMENT SUPERIEUR ET UNIVERSITAIRE</w:t>
      </w:r>
    </w:p>
    <w:p w:rsidR="006B2B84" w:rsidRPr="0012195F" w:rsidRDefault="006B2B84" w:rsidP="006B2B84">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 xml:space="preserve"> E.S.U </w:t>
      </w:r>
    </w:p>
    <w:p w:rsidR="006B2B84" w:rsidRPr="0012195F" w:rsidRDefault="006B2B84" w:rsidP="006B2B84">
      <w:pPr>
        <w:spacing w:after="0" w:line="240" w:lineRule="auto"/>
        <w:jc w:val="center"/>
        <w:rPr>
          <w:rFonts w:ascii="Times New Roman" w:hAnsi="Times New Roman" w:cs="Times New Roman"/>
          <w:b/>
          <w:sz w:val="28"/>
          <w:szCs w:val="28"/>
        </w:rPr>
      </w:pPr>
      <w:r w:rsidRPr="0012195F">
        <w:rPr>
          <w:rFonts w:ascii="Times New Roman" w:hAnsi="Times New Roman" w:cs="Times New Roman"/>
          <w:b/>
          <w:sz w:val="28"/>
          <w:szCs w:val="28"/>
        </w:rPr>
        <w:t>UNIVERSITAIRE DE L’ASSOMPTION AU CONGO</w:t>
      </w:r>
    </w:p>
    <w:p w:rsidR="006B2B84" w:rsidRPr="0012195F" w:rsidRDefault="006B2B84" w:rsidP="006B2B84">
      <w:pPr>
        <w:spacing w:after="0" w:line="240" w:lineRule="auto"/>
        <w:jc w:val="center"/>
        <w:rPr>
          <w:rFonts w:ascii="Times New Roman" w:hAnsi="Times New Roman" w:cs="Times New Roman"/>
          <w:b/>
          <w:sz w:val="28"/>
          <w:szCs w:val="28"/>
          <w:lang w:val="en-US"/>
        </w:rPr>
      </w:pPr>
      <w:r w:rsidRPr="0012195F">
        <w:rPr>
          <w:rFonts w:ascii="Times New Roman" w:hAnsi="Times New Roman" w:cs="Times New Roman"/>
          <w:b/>
          <w:sz w:val="28"/>
          <w:szCs w:val="28"/>
        </w:rPr>
        <w:t xml:space="preserve"> </w:t>
      </w:r>
      <w:r w:rsidRPr="0012195F">
        <w:rPr>
          <w:rFonts w:ascii="Times New Roman" w:hAnsi="Times New Roman" w:cs="Times New Roman"/>
          <w:b/>
          <w:sz w:val="28"/>
          <w:szCs w:val="28"/>
          <w:lang w:val="en-US"/>
        </w:rPr>
        <w:t>U.A.C</w:t>
      </w:r>
    </w:p>
    <w:p w:rsidR="006B2B84" w:rsidRPr="001A209E" w:rsidRDefault="006B2B84" w:rsidP="006B2B84">
      <w:pPr>
        <w:spacing w:after="0" w:line="240" w:lineRule="auto"/>
        <w:jc w:val="center"/>
        <w:rPr>
          <w:rFonts w:ascii="Bodoni MT" w:hAnsi="Bodoni MT"/>
          <w:lang w:val="en-US"/>
        </w:rPr>
      </w:pPr>
      <w:r w:rsidRPr="00326E9E">
        <w:rPr>
          <w:rFonts w:ascii="Bodoni MT" w:hAnsi="Bodoni MT"/>
          <w:lang w:val="en-US"/>
        </w:rPr>
        <w:t>Email:</w:t>
      </w:r>
      <w:r w:rsidRPr="001A209E">
        <w:rPr>
          <w:rFonts w:ascii="Bodoni MT" w:hAnsi="Bodoni MT"/>
          <w:lang w:val="en-US"/>
        </w:rPr>
        <w:t xml:space="preserve"> </w:t>
      </w:r>
      <w:hyperlink r:id="rId5" w:history="1">
        <w:r w:rsidRPr="001A209E">
          <w:rPr>
            <w:rStyle w:val="Lienhypertexte"/>
            <w:rFonts w:ascii="Bodoni MT" w:hAnsi="Bodoni MT"/>
            <w:lang w:val="en-US"/>
          </w:rPr>
          <w:t>contact@uaconline.edu.cd</w:t>
        </w:r>
      </w:hyperlink>
    </w:p>
    <w:p w:rsidR="006B2B84" w:rsidRPr="007859D9" w:rsidRDefault="006B2B84" w:rsidP="006B2B84">
      <w:pPr>
        <w:spacing w:after="0" w:line="240" w:lineRule="auto"/>
        <w:jc w:val="center"/>
        <w:rPr>
          <w:rFonts w:ascii="Bodoni MT" w:hAnsi="Bodoni MT"/>
        </w:rPr>
      </w:pPr>
      <w:r w:rsidRPr="001A209E">
        <w:rPr>
          <w:rFonts w:ascii="Bodoni MT" w:hAnsi="Bodoni MT"/>
          <w:lang w:val="en-US"/>
        </w:rPr>
        <w:t xml:space="preserve"> </w:t>
      </w:r>
      <w:r w:rsidRPr="007859D9">
        <w:rPr>
          <w:rFonts w:ascii="Bodoni MT" w:hAnsi="Bodoni MT"/>
        </w:rPr>
        <w:t xml:space="preserve">Site : </w:t>
      </w:r>
      <w:hyperlink r:id="rId6" w:history="1">
        <w:r w:rsidRPr="007859D9">
          <w:rPr>
            <w:rStyle w:val="Lienhypertexte"/>
            <w:rFonts w:ascii="Bodoni MT" w:hAnsi="Bodoni MT"/>
          </w:rPr>
          <w:t>www.uaconline.edu.cd</w:t>
        </w:r>
      </w:hyperlink>
      <w:r w:rsidRPr="007859D9">
        <w:rPr>
          <w:rFonts w:ascii="Bodoni MT" w:hAnsi="Bodoni MT"/>
        </w:rPr>
        <w:t xml:space="preserve">  </w:t>
      </w:r>
    </w:p>
    <w:p w:rsidR="006B2B84" w:rsidRPr="007859D9" w:rsidRDefault="006B2B84" w:rsidP="006B2B84">
      <w:pPr>
        <w:spacing w:after="0" w:line="360" w:lineRule="auto"/>
        <w:jc w:val="center"/>
        <w:rPr>
          <w:rFonts w:ascii="Times New Roman" w:hAnsi="Times New Roman"/>
          <w:b/>
        </w:rPr>
      </w:pPr>
      <w:r w:rsidRPr="00346511">
        <w:rPr>
          <w:noProof/>
          <w:lang w:eastAsia="fr-FR"/>
        </w:rPr>
        <w:drawing>
          <wp:anchor distT="0" distB="0" distL="114300" distR="114300" simplePos="0" relativeHeight="251659264" behindDoc="0" locked="0" layoutInCell="1" allowOverlap="1" wp14:anchorId="46E3FDDD" wp14:editId="338EF13C">
            <wp:simplePos x="0" y="0"/>
            <wp:positionH relativeFrom="margin">
              <wp:posOffset>2527300</wp:posOffset>
            </wp:positionH>
            <wp:positionV relativeFrom="paragraph">
              <wp:posOffset>31750</wp:posOffset>
            </wp:positionV>
            <wp:extent cx="1257300" cy="1314450"/>
            <wp:effectExtent l="0" t="0" r="0" b="0"/>
            <wp:wrapSquare wrapText="bothSides"/>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9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300" cy="1314450"/>
                    </a:xfrm>
                    <a:prstGeom prst="rect">
                      <a:avLst/>
                    </a:prstGeom>
                    <a:noFill/>
                  </pic:spPr>
                </pic:pic>
              </a:graphicData>
            </a:graphic>
            <wp14:sizeRelH relativeFrom="margin">
              <wp14:pctWidth>0</wp14:pctWidth>
            </wp14:sizeRelH>
            <wp14:sizeRelV relativeFrom="margin">
              <wp14:pctHeight>0</wp14:pctHeight>
            </wp14:sizeRelV>
          </wp:anchor>
        </w:drawing>
      </w:r>
    </w:p>
    <w:p w:rsidR="006B2B84" w:rsidRPr="007859D9" w:rsidRDefault="006B2B84" w:rsidP="006B2B84">
      <w:pPr>
        <w:spacing w:after="0" w:line="360" w:lineRule="auto"/>
        <w:ind w:firstLine="454"/>
        <w:jc w:val="center"/>
        <w:rPr>
          <w:rFonts w:ascii="Times New Roman" w:hAnsi="Times New Roman"/>
          <w:b/>
        </w:rPr>
      </w:pPr>
    </w:p>
    <w:p w:rsidR="006B2B84" w:rsidRPr="007859D9" w:rsidRDefault="006B2B84" w:rsidP="006B2B84">
      <w:pPr>
        <w:spacing w:after="0" w:line="360" w:lineRule="auto"/>
        <w:ind w:firstLine="454"/>
        <w:jc w:val="center"/>
        <w:rPr>
          <w:rFonts w:ascii="Times New Roman" w:hAnsi="Times New Roman"/>
          <w:b/>
        </w:rPr>
      </w:pPr>
    </w:p>
    <w:p w:rsidR="006B2B84" w:rsidRPr="007859D9" w:rsidRDefault="006B2B84" w:rsidP="006B2B84">
      <w:pPr>
        <w:spacing w:after="0" w:line="360" w:lineRule="auto"/>
        <w:ind w:firstLine="454"/>
        <w:jc w:val="center"/>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rsidR="006B2B84" w:rsidRPr="007859D9" w:rsidRDefault="006B2B84" w:rsidP="006B2B84">
      <w:pPr>
        <w:spacing w:after="0" w:line="240" w:lineRule="auto"/>
        <w:ind w:firstLine="454"/>
        <w:jc w:val="center"/>
        <w:rPr>
          <w:rFonts w:ascii="Times New Roman" w:hAnsi="Times New Roman"/>
          <w:b/>
          <w:sz w:val="28"/>
          <w:szCs w:val="28"/>
        </w:rPr>
      </w:pPr>
    </w:p>
    <w:p w:rsidR="006B2B84" w:rsidRPr="0012195F" w:rsidRDefault="006B2B84" w:rsidP="006B2B84">
      <w:pPr>
        <w:spacing w:after="0" w:line="240" w:lineRule="auto"/>
        <w:rPr>
          <w:rFonts w:ascii="Times New Roman" w:hAnsi="Times New Roman"/>
          <w:b/>
          <w:sz w:val="28"/>
          <w:szCs w:val="28"/>
        </w:rPr>
      </w:pPr>
    </w:p>
    <w:p w:rsidR="006B2B84" w:rsidRPr="0012195F" w:rsidRDefault="006B2B84" w:rsidP="006B2B84">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B.P 104 BUTEMBO/ NORD-KIVU</w:t>
      </w:r>
    </w:p>
    <w:p w:rsidR="006B2B84" w:rsidRPr="0012195F" w:rsidRDefault="006B2B84" w:rsidP="006B2B84">
      <w:pPr>
        <w:spacing w:after="0" w:line="240" w:lineRule="auto"/>
        <w:ind w:firstLine="454"/>
        <w:jc w:val="center"/>
        <w:rPr>
          <w:rFonts w:ascii="Times New Roman" w:hAnsi="Times New Roman"/>
          <w:b/>
          <w:sz w:val="28"/>
          <w:szCs w:val="28"/>
        </w:rPr>
      </w:pPr>
    </w:p>
    <w:p w:rsidR="006B2B84" w:rsidRPr="0012195F" w:rsidRDefault="006B2B84" w:rsidP="006B2B84">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DOMAINE DES SCIENCES ECONOMIQUES ET DE GESTION</w:t>
      </w:r>
    </w:p>
    <w:p w:rsidR="006B2B84" w:rsidRPr="0012195F" w:rsidRDefault="006B2B84" w:rsidP="00AE7A12">
      <w:pPr>
        <w:spacing w:after="0" w:line="240" w:lineRule="auto"/>
        <w:ind w:firstLine="454"/>
        <w:jc w:val="center"/>
        <w:rPr>
          <w:rFonts w:ascii="Times New Roman" w:hAnsi="Times New Roman"/>
          <w:b/>
          <w:sz w:val="28"/>
          <w:szCs w:val="28"/>
        </w:rPr>
      </w:pPr>
      <w:r w:rsidRPr="0012195F">
        <w:rPr>
          <w:rFonts w:ascii="Times New Roman" w:hAnsi="Times New Roman"/>
          <w:b/>
          <w:sz w:val="28"/>
          <w:szCs w:val="28"/>
        </w:rPr>
        <w:t>DEPARTEMENT </w:t>
      </w:r>
      <w:r w:rsidR="00AE7A12">
        <w:rPr>
          <w:rFonts w:ascii="Times New Roman" w:hAnsi="Times New Roman"/>
          <w:b/>
          <w:sz w:val="28"/>
          <w:szCs w:val="28"/>
        </w:rPr>
        <w:t>DU SYSTEME RESEAU ET INFRASTRUCTURE</w:t>
      </w:r>
    </w:p>
    <w:p w:rsidR="006B2B84" w:rsidRPr="00346511" w:rsidRDefault="006B2B84" w:rsidP="006B2B84">
      <w:pPr>
        <w:spacing w:after="0" w:line="360" w:lineRule="auto"/>
        <w:ind w:firstLine="454"/>
        <w:jc w:val="center"/>
        <w:rPr>
          <w:rFonts w:ascii="Times New Roman" w:hAnsi="Times New Roman"/>
          <w:b/>
        </w:rPr>
      </w:pPr>
    </w:p>
    <w:p w:rsidR="006B2B84" w:rsidRPr="00346511" w:rsidRDefault="006B2B84" w:rsidP="006B2B84">
      <w:pPr>
        <w:spacing w:after="0" w:line="360" w:lineRule="auto"/>
        <w:ind w:firstLine="454"/>
        <w:jc w:val="center"/>
        <w:rPr>
          <w:rFonts w:ascii="Times New Roman" w:hAnsi="Times New Roman"/>
          <w:b/>
        </w:rPr>
      </w:pPr>
      <w:r w:rsidRPr="00346511">
        <w:rPr>
          <w:noProof/>
          <w:lang w:eastAsia="fr-FR"/>
        </w:rPr>
        <mc:AlternateContent>
          <mc:Choice Requires="wps">
            <w:drawing>
              <wp:anchor distT="0" distB="0" distL="114300" distR="114300" simplePos="0" relativeHeight="251660288" behindDoc="0" locked="0" layoutInCell="1" allowOverlap="1" wp14:anchorId="0DC95E7F" wp14:editId="013ADD7F">
                <wp:simplePos x="0" y="0"/>
                <wp:positionH relativeFrom="margin">
                  <wp:posOffset>186055</wp:posOffset>
                </wp:positionH>
                <wp:positionV relativeFrom="paragraph">
                  <wp:posOffset>132715</wp:posOffset>
                </wp:positionV>
                <wp:extent cx="5763260" cy="1295400"/>
                <wp:effectExtent l="0" t="0" r="27940" b="19050"/>
                <wp:wrapNone/>
                <wp:docPr id="30" name="Rectangle à coins arrondis 30"/>
                <wp:cNvGraphicFramePr/>
                <a:graphic xmlns:a="http://schemas.openxmlformats.org/drawingml/2006/main">
                  <a:graphicData uri="http://schemas.microsoft.com/office/word/2010/wordprocessingShape">
                    <wps:wsp>
                      <wps:cNvSpPr/>
                      <wps:spPr>
                        <a:xfrm>
                          <a:off x="0" y="0"/>
                          <a:ext cx="5763260" cy="1295400"/>
                        </a:xfrm>
                        <a:prstGeom prst="roundRect">
                          <a:avLst/>
                        </a:prstGeom>
                        <a:ln>
                          <a:solidFill>
                            <a:schemeClr val="accent1"/>
                          </a:solidFill>
                        </a:ln>
                      </wps:spPr>
                      <wps:style>
                        <a:lnRef idx="2">
                          <a:schemeClr val="dk1"/>
                        </a:lnRef>
                        <a:fillRef idx="1">
                          <a:schemeClr val="lt1"/>
                        </a:fillRef>
                        <a:effectRef idx="0">
                          <a:schemeClr val="dk1"/>
                        </a:effectRef>
                        <a:fontRef idx="minor">
                          <a:schemeClr val="dk1"/>
                        </a:fontRef>
                      </wps:style>
                      <wps:txbx>
                        <w:txbxContent>
                          <w:p w:rsidR="006B2B84" w:rsidRPr="00F857D2" w:rsidRDefault="006B2B84" w:rsidP="006B2B84">
                            <w:pPr>
                              <w:jc w:val="center"/>
                              <w:rPr>
                                <w:rFonts w:ascii="Times New Roman" w:hAnsi="Times New Roman"/>
                                <w:b/>
                                <w:sz w:val="44"/>
                                <w:szCs w:val="44"/>
                              </w:rPr>
                            </w:pPr>
                            <w:r w:rsidRPr="00F857D2">
                              <w:rPr>
                                <w:rFonts w:ascii="Times New Roman" w:hAnsi="Times New Roman"/>
                                <w:b/>
                                <w:sz w:val="44"/>
                                <w:szCs w:val="44"/>
                              </w:rPr>
                              <w:t>TRAVAIL PRATIQUE</w:t>
                            </w:r>
                          </w:p>
                          <w:p w:rsidR="006B2B84" w:rsidRDefault="006B2B84" w:rsidP="006B2B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95E7F" id="Rectangle à coins arrondis 30" o:spid="_x0000_s1026" style="position:absolute;left:0;text-align:left;margin-left:14.65pt;margin-top:10.45pt;width:453.8pt;height:10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" fillcolor="white [3201]" strokecolor="#5b9bd5 [3204]" strokeweight="1pt">
                <v:stroke joinstyle="miter"/>
                <v:textbox>
                  <w:txbxContent>
                    <w:p w:rsidR="006B2B84" w:rsidRPr="00F857D2" w:rsidRDefault="006B2B84" w:rsidP="006B2B84">
                      <w:pPr>
                        <w:jc w:val="center"/>
                        <w:rPr>
                          <w:rFonts w:ascii="Times New Roman" w:hAnsi="Times New Roman"/>
                          <w:b/>
                          <w:sz w:val="44"/>
                          <w:szCs w:val="44"/>
                        </w:rPr>
                      </w:pPr>
                      <w:r w:rsidRPr="00F857D2">
                        <w:rPr>
                          <w:rFonts w:ascii="Times New Roman" w:hAnsi="Times New Roman"/>
                          <w:b/>
                          <w:sz w:val="44"/>
                          <w:szCs w:val="44"/>
                        </w:rPr>
                        <w:t>TRAVAIL PRATIQUE</w:t>
                      </w:r>
                    </w:p>
                    <w:p w:rsidR="006B2B84" w:rsidRDefault="006B2B84" w:rsidP="006B2B84">
                      <w:pPr>
                        <w:jc w:val="center"/>
                      </w:pPr>
                    </w:p>
                  </w:txbxContent>
                </v:textbox>
                <w10:wrap anchorx="margin"/>
              </v:roundrect>
            </w:pict>
          </mc:Fallback>
        </mc:AlternateContent>
      </w:r>
    </w:p>
    <w:p w:rsidR="006B2B84" w:rsidRPr="00346511" w:rsidRDefault="006B2B84" w:rsidP="006B2B84">
      <w:pPr>
        <w:spacing w:after="0" w:line="360" w:lineRule="auto"/>
        <w:ind w:firstLine="454"/>
        <w:jc w:val="center"/>
        <w:rPr>
          <w:rFonts w:ascii="Times New Roman" w:hAnsi="Times New Roman"/>
          <w:b/>
        </w:rPr>
      </w:pPr>
    </w:p>
    <w:p w:rsidR="006B2B84" w:rsidRPr="00346511" w:rsidRDefault="006B2B84" w:rsidP="006B2B84">
      <w:pPr>
        <w:spacing w:after="0" w:line="360" w:lineRule="auto"/>
        <w:ind w:firstLine="454"/>
        <w:jc w:val="center"/>
        <w:rPr>
          <w:rFonts w:ascii="Times New Roman" w:hAnsi="Times New Roman"/>
          <w:b/>
        </w:rPr>
      </w:pPr>
    </w:p>
    <w:p w:rsidR="006B2B84" w:rsidRPr="00346511" w:rsidRDefault="006B2B84" w:rsidP="006B2B84">
      <w:pPr>
        <w:spacing w:after="0" w:line="360" w:lineRule="auto"/>
        <w:ind w:firstLine="454"/>
        <w:jc w:val="center"/>
        <w:rPr>
          <w:rFonts w:ascii="Times New Roman" w:hAnsi="Times New Roman"/>
          <w:b/>
        </w:rPr>
      </w:pPr>
    </w:p>
    <w:p w:rsidR="006B2B84" w:rsidRDefault="006B2B84" w:rsidP="006B2B84">
      <w:pPr>
        <w:spacing w:after="0" w:line="360" w:lineRule="auto"/>
        <w:ind w:firstLine="454"/>
        <w:jc w:val="center"/>
        <w:rPr>
          <w:rFonts w:ascii="Times New Roman" w:hAnsi="Times New Roman"/>
          <w:b/>
        </w:rPr>
      </w:pPr>
    </w:p>
    <w:p w:rsidR="006B2B84" w:rsidRPr="007859D9" w:rsidRDefault="006B2B84" w:rsidP="006B2B84">
      <w:pPr>
        <w:spacing w:after="0" w:line="360" w:lineRule="auto"/>
        <w:ind w:left="4536"/>
        <w:jc w:val="both"/>
        <w:rPr>
          <w:rFonts w:ascii="Times New Roman" w:hAnsi="Times New Roman"/>
          <w:sz w:val="26"/>
          <w:szCs w:val="26"/>
        </w:rPr>
      </w:pPr>
      <w:r w:rsidRPr="007859D9">
        <w:rPr>
          <w:rFonts w:ascii="Times New Roman" w:hAnsi="Times New Roman"/>
          <w:sz w:val="26"/>
          <w:szCs w:val="26"/>
        </w:rPr>
        <w:t xml:space="preserve">Par </w:t>
      </w:r>
    </w:p>
    <w:p w:rsidR="006B2B84" w:rsidRDefault="006B2B84" w:rsidP="006B2B84">
      <w:pPr>
        <w:spacing w:after="0" w:line="360" w:lineRule="auto"/>
        <w:ind w:left="4536"/>
        <w:jc w:val="both"/>
        <w:rPr>
          <w:rFonts w:ascii="Times New Roman" w:hAnsi="Times New Roman"/>
          <w:b/>
          <w:sz w:val="26"/>
          <w:szCs w:val="26"/>
        </w:rPr>
      </w:pPr>
      <w:r>
        <w:rPr>
          <w:rFonts w:ascii="Times New Roman" w:hAnsi="Times New Roman"/>
          <w:b/>
          <w:sz w:val="26"/>
          <w:szCs w:val="26"/>
        </w:rPr>
        <w:t>Par:</w:t>
      </w:r>
    </w:p>
    <w:p w:rsidR="006B2B84" w:rsidRPr="00AE7A12" w:rsidRDefault="00AE7A12" w:rsidP="006B2B84">
      <w:pPr>
        <w:spacing w:after="0" w:line="360" w:lineRule="auto"/>
        <w:ind w:left="4536"/>
        <w:jc w:val="both"/>
        <w:rPr>
          <w:rFonts w:ascii="Times New Roman" w:hAnsi="Times New Roman"/>
          <w:sz w:val="26"/>
          <w:szCs w:val="26"/>
        </w:rPr>
      </w:pPr>
      <w:r w:rsidRPr="00AE7A12">
        <w:rPr>
          <w:rFonts w:ascii="Times New Roman" w:hAnsi="Times New Roman"/>
          <w:sz w:val="26"/>
          <w:szCs w:val="26"/>
        </w:rPr>
        <w:t>KAMBALE MBAFUMOJA Belden</w:t>
      </w:r>
    </w:p>
    <w:p w:rsidR="006B2B84" w:rsidRPr="00AE7A12" w:rsidRDefault="006B2B84" w:rsidP="006B2B84">
      <w:pPr>
        <w:spacing w:after="0" w:line="240" w:lineRule="auto"/>
        <w:ind w:left="4536"/>
        <w:rPr>
          <w:rFonts w:ascii="Times New Roman" w:hAnsi="Times New Roman" w:cs="Times New Roman"/>
          <w:i/>
          <w:sz w:val="24"/>
          <w:szCs w:val="24"/>
          <w:u w:val="single"/>
        </w:rPr>
      </w:pPr>
      <w:r w:rsidRPr="00AE7A12">
        <w:rPr>
          <w:rFonts w:ascii="Times New Roman" w:hAnsi="Times New Roman" w:cs="Times New Roman"/>
          <w:bCs/>
          <w:sz w:val="24"/>
          <w:szCs w:val="24"/>
        </w:rPr>
        <w:t>Titulaire du cours :</w:t>
      </w:r>
      <w:r w:rsidRPr="00AE7A12">
        <w:rPr>
          <w:rFonts w:ascii="Times New Roman" w:hAnsi="Times New Roman" w:cs="Times New Roman"/>
          <w:sz w:val="24"/>
          <w:szCs w:val="24"/>
        </w:rPr>
        <w:t xml:space="preserve"> Ir KAMBALE SYATSUKWA Alfred CT</w:t>
      </w:r>
    </w:p>
    <w:p w:rsidR="006B2B84" w:rsidRDefault="006B2B84" w:rsidP="006B2B84">
      <w:pPr>
        <w:spacing w:line="360" w:lineRule="auto"/>
        <w:rPr>
          <w:rFonts w:ascii="Times New Roman" w:hAnsi="Times New Roman" w:cs="Times New Roman"/>
          <w:b/>
          <w:bCs/>
          <w:sz w:val="28"/>
          <w:szCs w:val="28"/>
        </w:rPr>
      </w:pPr>
    </w:p>
    <w:p w:rsidR="006B2B84" w:rsidRDefault="006B2B84" w:rsidP="006B2B84">
      <w:pPr>
        <w:spacing w:line="360" w:lineRule="auto"/>
        <w:jc w:val="center"/>
        <w:rPr>
          <w:rFonts w:ascii="Times New Roman" w:hAnsi="Times New Roman" w:cs="Times New Roman"/>
          <w:b/>
          <w:bCs/>
          <w:sz w:val="28"/>
          <w:szCs w:val="28"/>
        </w:rPr>
      </w:pPr>
    </w:p>
    <w:p w:rsidR="006B2B84" w:rsidRDefault="006B2B84" w:rsidP="006B2B84">
      <w:pPr>
        <w:spacing w:line="360" w:lineRule="auto"/>
        <w:jc w:val="center"/>
        <w:rPr>
          <w:rFonts w:ascii="Times New Roman" w:hAnsi="Times New Roman" w:cs="Times New Roman"/>
          <w:b/>
          <w:bCs/>
          <w:sz w:val="28"/>
          <w:szCs w:val="28"/>
        </w:rPr>
      </w:pPr>
    </w:p>
    <w:p w:rsidR="006B2B84" w:rsidRDefault="006B2B84" w:rsidP="006B2B84">
      <w:pPr>
        <w:spacing w:line="360" w:lineRule="auto"/>
        <w:rPr>
          <w:rFonts w:ascii="Times New Roman" w:hAnsi="Times New Roman" w:cs="Times New Roman"/>
          <w:b/>
          <w:sz w:val="28"/>
          <w:szCs w:val="28"/>
        </w:rPr>
      </w:pPr>
    </w:p>
    <w:p w:rsidR="006B2B84" w:rsidRDefault="006B2B84" w:rsidP="006B2B84">
      <w:pPr>
        <w:spacing w:line="360" w:lineRule="auto"/>
        <w:jc w:val="center"/>
        <w:rPr>
          <w:rFonts w:ascii="Times New Roman" w:hAnsi="Times New Roman" w:cs="Times New Roman"/>
          <w:b/>
          <w:bCs/>
          <w:sz w:val="28"/>
          <w:szCs w:val="28"/>
        </w:rPr>
        <w:sectPr w:rsidR="006B2B84">
          <w:headerReference w:type="default" r:id="rId8"/>
          <w:pgSz w:w="11906" w:h="16838"/>
          <w:pgMar w:top="1417" w:right="1417" w:bottom="1417" w:left="1417" w:header="708" w:footer="708" w:gutter="0"/>
          <w:cols w:space="708"/>
          <w:docGrid w:linePitch="360"/>
        </w:sectPr>
      </w:pPr>
      <w:r>
        <w:rPr>
          <w:rFonts w:ascii="Times New Roman" w:hAnsi="Times New Roman" w:cs="Times New Roman"/>
          <w:b/>
          <w:bCs/>
          <w:sz w:val="28"/>
          <w:szCs w:val="28"/>
        </w:rPr>
        <w:t>ANNEE ACADEMIQUE 2025-2026</w:t>
      </w:r>
    </w:p>
    <w:p w:rsidR="00DB3518" w:rsidRPr="00DB3518" w:rsidRDefault="00DB3518" w:rsidP="00AE7A12">
      <w:pPr>
        <w:spacing w:line="360" w:lineRule="auto"/>
        <w:jc w:val="center"/>
        <w:rPr>
          <w:rFonts w:ascii="Times New Roman" w:hAnsi="Times New Roman" w:cs="Times New Roman"/>
          <w:b/>
          <w:sz w:val="28"/>
          <w:szCs w:val="28"/>
        </w:rPr>
      </w:pPr>
      <w:r w:rsidRPr="00DB3518">
        <w:rPr>
          <w:rFonts w:ascii="Times New Roman" w:hAnsi="Times New Roman" w:cs="Times New Roman"/>
          <w:b/>
          <w:sz w:val="28"/>
          <w:szCs w:val="28"/>
        </w:rPr>
        <w:lastRenderedPageBreak/>
        <w:t>INTRODUCTION</w:t>
      </w:r>
    </w:p>
    <w:p w:rsidR="00DB3518" w:rsidRPr="00DB3518" w:rsidRDefault="00DB3518" w:rsidP="00DB3518">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La sécurité de l'information repose sur des fondements mathématiques, logiques et organisationnels. Ce qui, historiquement, se présentait parfois comme un art secret est aujourd'hui une discipline scientifique reposant sur des preuves, des modèles de menaces, et des standards internationaux. Le</w:t>
      </w:r>
      <w:r>
        <w:rPr>
          <w:rFonts w:ascii="Times New Roman" w:hAnsi="Times New Roman" w:cs="Times New Roman"/>
          <w:sz w:val="24"/>
          <w:szCs w:val="24"/>
        </w:rPr>
        <w:t xml:space="preserve">s mécanismes cryptographiques </w:t>
      </w:r>
      <w:r w:rsidRPr="00DB3518">
        <w:rPr>
          <w:rFonts w:ascii="Times New Roman" w:hAnsi="Times New Roman" w:cs="Times New Roman"/>
          <w:sz w:val="24"/>
          <w:szCs w:val="24"/>
        </w:rPr>
        <w:t>algorithmes, protocoles, et infras</w:t>
      </w:r>
      <w:r>
        <w:rPr>
          <w:rFonts w:ascii="Times New Roman" w:hAnsi="Times New Roman" w:cs="Times New Roman"/>
          <w:sz w:val="24"/>
          <w:szCs w:val="24"/>
        </w:rPr>
        <w:t xml:space="preserve">tructures de gestion des clés </w:t>
      </w:r>
      <w:r w:rsidRPr="00DB3518">
        <w:rPr>
          <w:rFonts w:ascii="Times New Roman" w:hAnsi="Times New Roman" w:cs="Times New Roman"/>
          <w:sz w:val="24"/>
          <w:szCs w:val="24"/>
        </w:rPr>
        <w:t>assurent la confidentialité, l'intégrité, l'authentification et la non‑répudiation de l'information. Ce rapport explore ces fondements théoriques (notamment le principe de Kerckhoffs), les mécanismes pratiques (échange de clés Diffie‑Hellman, chiffrement asymétrique et signatures numériques), ainsi que les architectures de confiance (PKI), et conclut sur les enjeux contemporains et directions futures.</w:t>
      </w:r>
    </w:p>
    <w:p w:rsidR="00DB3518" w:rsidRPr="00DB3518" w:rsidRDefault="00DB3518" w:rsidP="00DB3518">
      <w:pPr>
        <w:spacing w:line="360" w:lineRule="auto"/>
        <w:jc w:val="both"/>
        <w:rPr>
          <w:rFonts w:ascii="Times New Roman" w:hAnsi="Times New Roman" w:cs="Times New Roman"/>
          <w:b/>
          <w:sz w:val="24"/>
          <w:szCs w:val="24"/>
        </w:rPr>
      </w:pPr>
      <w:r w:rsidRPr="00DB3518">
        <w:rPr>
          <w:rFonts w:ascii="Times New Roman" w:hAnsi="Times New Roman" w:cs="Times New Roman"/>
          <w:b/>
          <w:sz w:val="24"/>
          <w:szCs w:val="24"/>
        </w:rPr>
        <w:t>SUJET 1 : LES FONDEMENTS T</w:t>
      </w:r>
      <w:r>
        <w:rPr>
          <w:rFonts w:ascii="Times New Roman" w:hAnsi="Times New Roman" w:cs="Times New Roman"/>
          <w:b/>
          <w:sz w:val="24"/>
          <w:szCs w:val="24"/>
        </w:rPr>
        <w:t>HÉORIQUES ET LEUR MISE EN OEUVRE</w:t>
      </w:r>
    </w:p>
    <w:p w:rsidR="00DB3518" w:rsidRPr="00DB3518" w:rsidRDefault="00DB3518" w:rsidP="00DB3518">
      <w:pPr>
        <w:spacing w:line="360" w:lineRule="auto"/>
        <w:jc w:val="both"/>
        <w:rPr>
          <w:rFonts w:ascii="Times New Roman" w:hAnsi="Times New Roman" w:cs="Times New Roman"/>
          <w:b/>
          <w:sz w:val="24"/>
          <w:szCs w:val="24"/>
        </w:rPr>
      </w:pPr>
      <w:r w:rsidRPr="00DB3518">
        <w:rPr>
          <w:rFonts w:ascii="Times New Roman" w:hAnsi="Times New Roman" w:cs="Times New Roman"/>
          <w:b/>
          <w:sz w:val="24"/>
          <w:szCs w:val="24"/>
        </w:rPr>
        <w:t>1. Le principe de Kerckhoffs</w:t>
      </w:r>
    </w:p>
    <w:p w:rsidR="00DB3518" w:rsidRPr="00DB3518" w:rsidRDefault="00DB3518" w:rsidP="00DB3518">
      <w:pPr>
        <w:spacing w:line="360" w:lineRule="auto"/>
        <w:jc w:val="both"/>
        <w:rPr>
          <w:rFonts w:ascii="Times New Roman" w:hAnsi="Times New Roman" w:cs="Times New Roman"/>
          <w:sz w:val="24"/>
          <w:szCs w:val="24"/>
        </w:rPr>
      </w:pPr>
      <w:r w:rsidRPr="00DB3518">
        <w:rPr>
          <w:rFonts w:ascii="Times New Roman" w:hAnsi="Times New Roman" w:cs="Times New Roman"/>
          <w:sz w:val="24"/>
          <w:szCs w:val="24"/>
        </w:rPr>
        <w:t>Recherche et contexte historique</w:t>
      </w:r>
    </w:p>
    <w:p w:rsidR="00DB3518" w:rsidRPr="00DB3518" w:rsidRDefault="00DB3518" w:rsidP="00DB3518">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 xml:space="preserve">En 1883, Auguste Kerckhoffs formulait six principes pour la cryptographie militaire. </w:t>
      </w:r>
      <w:r w:rsidRPr="00DB3518">
        <w:rPr>
          <w:rFonts w:ascii="Times New Roman" w:hAnsi="Times New Roman" w:cs="Times New Roman"/>
          <w:sz w:val="24"/>
          <w:szCs w:val="24"/>
        </w:rPr>
        <w:t>La plus célèbre stipule</w:t>
      </w:r>
      <w:r w:rsidRPr="00DB3518">
        <w:rPr>
          <w:rFonts w:ascii="Times New Roman" w:hAnsi="Times New Roman" w:cs="Times New Roman"/>
          <w:sz w:val="24"/>
          <w:szCs w:val="24"/>
        </w:rPr>
        <w:t xml:space="preserve"> que la sécurité d’un système ne doit pas dépendre du secret de son mécanisme, mais uniquement du secret de la clé. Reformulé pour le monde moderne : un algorithme cryptographique doit rester public et soumis à l’analyse, la robustesse devant provenir de difficultés mathématiques et de la qualité de la clé. Ce principe a façonné la cryptographie moderne : RSA, AES, SHA, et bien d’autres algorithmes sont publiés, standardisés et soumis à l’audit de la communauté.</w:t>
      </w:r>
    </w:p>
    <w:p w:rsidR="00DB3518" w:rsidRPr="00662479" w:rsidRDefault="00DB3518" w:rsidP="00DB3518">
      <w:pPr>
        <w:spacing w:line="360" w:lineRule="auto"/>
        <w:jc w:val="both"/>
        <w:rPr>
          <w:rFonts w:ascii="Times New Roman" w:hAnsi="Times New Roman" w:cs="Times New Roman"/>
          <w:b/>
          <w:sz w:val="24"/>
          <w:szCs w:val="24"/>
        </w:rPr>
      </w:pPr>
      <w:r w:rsidRPr="00662479">
        <w:rPr>
          <w:rFonts w:ascii="Times New Roman" w:hAnsi="Times New Roman" w:cs="Times New Roman"/>
          <w:b/>
          <w:sz w:val="24"/>
          <w:szCs w:val="24"/>
        </w:rPr>
        <w:t>Analyse et implications</w:t>
      </w:r>
    </w:p>
    <w:p w:rsidR="00DB3518" w:rsidRPr="00662479" w:rsidRDefault="00DB3518" w:rsidP="00662479">
      <w:pPr>
        <w:spacing w:line="360" w:lineRule="auto"/>
        <w:ind w:firstLine="709"/>
        <w:jc w:val="both"/>
        <w:rPr>
          <w:rFonts w:ascii="Times New Roman" w:hAnsi="Times New Roman" w:cs="Times New Roman"/>
          <w:sz w:val="24"/>
          <w:szCs w:val="24"/>
        </w:rPr>
      </w:pPr>
      <w:r w:rsidRPr="00662479">
        <w:rPr>
          <w:rFonts w:ascii="Times New Roman" w:hAnsi="Times New Roman" w:cs="Times New Roman"/>
          <w:sz w:val="24"/>
          <w:szCs w:val="24"/>
        </w:rPr>
        <w:t>Avantages d’une transparence algorithmique :</w:t>
      </w:r>
    </w:p>
    <w:p w:rsidR="00662479" w:rsidRDefault="00DB3518" w:rsidP="00DB3518">
      <w:pPr>
        <w:pStyle w:val="Paragraphedeliste"/>
        <w:numPr>
          <w:ilvl w:val="0"/>
          <w:numId w:val="1"/>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Auditabilité : la communauté peut chercher des failles, proposer des améliorations et valider la sécurité.</w:t>
      </w:r>
    </w:p>
    <w:p w:rsidR="00662479" w:rsidRDefault="00DB3518" w:rsidP="00DB3518">
      <w:pPr>
        <w:pStyle w:val="Paragraphedeliste"/>
        <w:numPr>
          <w:ilvl w:val="0"/>
          <w:numId w:val="1"/>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Interopérabilité : l’adoption de standards publics facilite l’intégration entre systèmes.</w:t>
      </w:r>
    </w:p>
    <w:p w:rsidR="00662479" w:rsidRDefault="00DB3518" w:rsidP="00DB3518">
      <w:pPr>
        <w:pStyle w:val="Paragraphedeliste"/>
        <w:numPr>
          <w:ilvl w:val="0"/>
          <w:numId w:val="1"/>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Résilience : la découverte d’une vulnérabilité entraîne la correction et la migration, plutôt que l’effondrement caché d’un système secret.</w:t>
      </w:r>
    </w:p>
    <w:p w:rsidR="00DB3518" w:rsidRPr="00662479" w:rsidRDefault="00DB3518" w:rsidP="00662479">
      <w:pPr>
        <w:pStyle w:val="Paragraphedeliste"/>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Risques de la « security by obscurity » :</w:t>
      </w:r>
    </w:p>
    <w:p w:rsidR="00662479" w:rsidRDefault="00DB3518" w:rsidP="00DB3518">
      <w:pPr>
        <w:pStyle w:val="Paragraphedeliste"/>
        <w:numPr>
          <w:ilvl w:val="0"/>
          <w:numId w:val="1"/>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Fausses assurances : le secret peut masquer des faiblesses fondamentales.</w:t>
      </w:r>
    </w:p>
    <w:p w:rsidR="00DB3518" w:rsidRPr="00662479" w:rsidRDefault="00DB3518" w:rsidP="00DB3518">
      <w:pPr>
        <w:pStyle w:val="Paragraphedeliste"/>
        <w:numPr>
          <w:ilvl w:val="0"/>
          <w:numId w:val="1"/>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lastRenderedPageBreak/>
        <w:t>Exemple historique : le Content Scramble System (CSS) pour les DVD. Le secret de l’algorithme n’a pas empêché sa rétro‑ingénierie et sa cassure rapide (deCSS, 1999).</w:t>
      </w:r>
    </w:p>
    <w:p w:rsidR="00DB3518" w:rsidRPr="00DB3518" w:rsidRDefault="00DB3518" w:rsidP="00662479">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Limites pratiques :</w:t>
      </w:r>
    </w:p>
    <w:p w:rsidR="00DB3518" w:rsidRPr="00662479" w:rsidRDefault="00DB3518" w:rsidP="00662479">
      <w:pPr>
        <w:pStyle w:val="Paragraphedeliste"/>
        <w:numPr>
          <w:ilvl w:val="0"/>
          <w:numId w:val="2"/>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 xml:space="preserve">Si l’implémentation (logicielle, matérielle) est incorrecte, l’algorithme sûr ne suffit pas. Les attaques exploitent souvent des erreurs d’implémentation, des canaux auxiliaires (side‑channels) ou une mauvaise gestion des </w:t>
      </w:r>
      <w:r w:rsidRPr="00662479">
        <w:rPr>
          <w:rFonts w:ascii="Times New Roman" w:hAnsi="Times New Roman" w:cs="Times New Roman"/>
          <w:sz w:val="24"/>
          <w:szCs w:val="24"/>
        </w:rPr>
        <w:t>clés.</w:t>
      </w:r>
    </w:p>
    <w:p w:rsidR="00DB3518" w:rsidRPr="00662479" w:rsidRDefault="00DB3518" w:rsidP="00DB3518">
      <w:pPr>
        <w:spacing w:line="360" w:lineRule="auto"/>
        <w:jc w:val="both"/>
        <w:rPr>
          <w:rFonts w:ascii="Times New Roman" w:hAnsi="Times New Roman" w:cs="Times New Roman"/>
          <w:b/>
          <w:sz w:val="24"/>
          <w:szCs w:val="24"/>
        </w:rPr>
      </w:pPr>
      <w:r w:rsidRPr="00662479">
        <w:rPr>
          <w:rFonts w:ascii="Times New Roman" w:hAnsi="Times New Roman" w:cs="Times New Roman"/>
          <w:b/>
          <w:sz w:val="24"/>
          <w:szCs w:val="24"/>
        </w:rPr>
        <w:t>Recommandations opérationnelles</w:t>
      </w:r>
    </w:p>
    <w:p w:rsidR="00DB3518" w:rsidRPr="00662479" w:rsidRDefault="00DB3518" w:rsidP="00662479">
      <w:pPr>
        <w:pStyle w:val="Paragraphedeliste"/>
        <w:numPr>
          <w:ilvl w:val="0"/>
          <w:numId w:val="2"/>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Favoriser des algorithmes standardisés par des organismes reconnus (NIST, ETSI, IETF).</w:t>
      </w:r>
    </w:p>
    <w:p w:rsidR="00DB3518" w:rsidRPr="00662479" w:rsidRDefault="00DB3518" w:rsidP="00662479">
      <w:pPr>
        <w:pStyle w:val="Paragraphedeliste"/>
        <w:numPr>
          <w:ilvl w:val="0"/>
          <w:numId w:val="2"/>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Procéder à des audits indépendants et des programmes de bug bounty.</w:t>
      </w:r>
    </w:p>
    <w:p w:rsidR="00DB3518" w:rsidRPr="0032658E" w:rsidRDefault="00DB3518" w:rsidP="00DB3518">
      <w:pPr>
        <w:pStyle w:val="Paragraphedeliste"/>
        <w:numPr>
          <w:ilvl w:val="0"/>
          <w:numId w:val="2"/>
        </w:numPr>
        <w:spacing w:line="360" w:lineRule="auto"/>
        <w:jc w:val="both"/>
        <w:rPr>
          <w:rFonts w:ascii="Times New Roman" w:hAnsi="Times New Roman" w:cs="Times New Roman"/>
          <w:sz w:val="24"/>
          <w:szCs w:val="24"/>
        </w:rPr>
      </w:pPr>
      <w:r w:rsidRPr="00662479">
        <w:rPr>
          <w:rFonts w:ascii="Times New Roman" w:hAnsi="Times New Roman" w:cs="Times New Roman"/>
          <w:sz w:val="24"/>
          <w:szCs w:val="24"/>
        </w:rPr>
        <w:t>Séparer clairement le secret de la clé du reste du système et formaliser des politiques de gestion du cycle de vie des clés (génération, rotation, révocation, destruction).</w:t>
      </w:r>
    </w:p>
    <w:p w:rsidR="00DB3518" w:rsidRPr="0032658E" w:rsidRDefault="00DB3518" w:rsidP="0032658E">
      <w:pPr>
        <w:pStyle w:val="Paragraphedeliste"/>
        <w:numPr>
          <w:ilvl w:val="0"/>
          <w:numId w:val="4"/>
        </w:numPr>
        <w:spacing w:line="360" w:lineRule="auto"/>
        <w:jc w:val="both"/>
        <w:rPr>
          <w:rFonts w:ascii="Times New Roman" w:hAnsi="Times New Roman" w:cs="Times New Roman"/>
          <w:b/>
          <w:sz w:val="24"/>
          <w:szCs w:val="24"/>
        </w:rPr>
      </w:pPr>
      <w:r w:rsidRPr="0032658E">
        <w:rPr>
          <w:rFonts w:ascii="Times New Roman" w:hAnsi="Times New Roman" w:cs="Times New Roman"/>
          <w:b/>
          <w:sz w:val="24"/>
          <w:szCs w:val="24"/>
        </w:rPr>
        <w:t>L’échange de clés Diffie‑Hellman (DH)</w:t>
      </w:r>
    </w:p>
    <w:p w:rsidR="00DB3518" w:rsidRPr="00DB3518" w:rsidRDefault="00DB3518" w:rsidP="0032658E">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Diffie et Hellman, en 1976, ont proposé une solution au problème de distribution des clés : deux parties peuvent établir une clé secrète commune sur un canal public sans pré‑partage de secret. Le protocole repose sur des opérations dans un groupe cycliq</w:t>
      </w:r>
      <w:r w:rsidR="0032658E">
        <w:rPr>
          <w:rFonts w:ascii="Times New Roman" w:hAnsi="Times New Roman" w:cs="Times New Roman"/>
          <w:sz w:val="24"/>
          <w:szCs w:val="24"/>
        </w:rPr>
        <w:t xml:space="preserve">ue où le calcul exponentiel est </w:t>
      </w:r>
      <w:r w:rsidRPr="00DB3518">
        <w:rPr>
          <w:rFonts w:ascii="Times New Roman" w:hAnsi="Times New Roman" w:cs="Times New Roman"/>
          <w:sz w:val="24"/>
          <w:szCs w:val="24"/>
        </w:rPr>
        <w:t>simple, alors que le logarithme discret est difficile.</w:t>
      </w:r>
    </w:p>
    <w:p w:rsidR="0032658E" w:rsidRPr="0032658E" w:rsidRDefault="0032658E" w:rsidP="0032658E">
      <w:pPr>
        <w:pStyle w:val="ds-markdown-paragraph"/>
        <w:shd w:val="clear" w:color="auto" w:fill="FFFFFF"/>
        <w:spacing w:before="240" w:beforeAutospacing="0" w:after="240" w:afterAutospacing="0" w:line="360" w:lineRule="auto"/>
        <w:jc w:val="both"/>
        <w:rPr>
          <w:color w:val="0F1115"/>
        </w:rPr>
      </w:pPr>
      <w:r w:rsidRPr="0032658E">
        <w:rPr>
          <w:rStyle w:val="lev"/>
          <w:color w:val="0F1115"/>
        </w:rPr>
        <w:t>Choix public d'un groupe (p, g) :</w:t>
      </w:r>
      <w:r w:rsidRPr="0032658E">
        <w:rPr>
          <w:color w:val="0F1115"/>
        </w:rPr>
        <w:t> p est un grand nombre premier, g est une base (générateur).</w:t>
      </w:r>
    </w:p>
    <w:p w:rsidR="0032658E" w:rsidRPr="0032658E" w:rsidRDefault="0032658E" w:rsidP="0032658E">
      <w:pPr>
        <w:pStyle w:val="ds-markdown-paragraph"/>
        <w:numPr>
          <w:ilvl w:val="0"/>
          <w:numId w:val="5"/>
        </w:numPr>
        <w:shd w:val="clear" w:color="auto" w:fill="FFFFFF"/>
        <w:spacing w:after="0" w:afterAutospacing="0" w:line="360" w:lineRule="auto"/>
        <w:ind w:left="0"/>
        <w:jc w:val="both"/>
        <w:rPr>
          <w:color w:val="0F1115"/>
        </w:rPr>
      </w:pPr>
      <w:r w:rsidRPr="0032658E">
        <w:rPr>
          <w:rStyle w:val="lev"/>
          <w:color w:val="0F1115"/>
        </w:rPr>
        <w:t>Kambale</w:t>
      </w:r>
      <w:r w:rsidRPr="0032658E">
        <w:rPr>
          <w:color w:val="0F1115"/>
        </w:rPr>
        <w:t> choisit un secret a, calcule A = g^a mod p, envoie A.</w:t>
      </w:r>
    </w:p>
    <w:p w:rsidR="0032658E" w:rsidRPr="0032658E" w:rsidRDefault="0032658E" w:rsidP="0032658E">
      <w:pPr>
        <w:pStyle w:val="ds-markdown-paragraph"/>
        <w:numPr>
          <w:ilvl w:val="0"/>
          <w:numId w:val="5"/>
        </w:numPr>
        <w:shd w:val="clear" w:color="auto" w:fill="FFFFFF"/>
        <w:spacing w:after="0" w:afterAutospacing="0" w:line="360" w:lineRule="auto"/>
        <w:ind w:left="0"/>
        <w:jc w:val="both"/>
        <w:rPr>
          <w:color w:val="0F1115"/>
        </w:rPr>
      </w:pPr>
      <w:r w:rsidRPr="0032658E">
        <w:rPr>
          <w:rStyle w:val="lev"/>
          <w:color w:val="0F1115"/>
        </w:rPr>
        <w:t>Belden</w:t>
      </w:r>
      <w:r w:rsidRPr="0032658E">
        <w:rPr>
          <w:color w:val="0F1115"/>
        </w:rPr>
        <w:t> choisit un secret b, calcule B = g^b mod p, envoie B.</w:t>
      </w:r>
    </w:p>
    <w:p w:rsidR="0032658E" w:rsidRPr="0032658E" w:rsidRDefault="0032658E" w:rsidP="0032658E">
      <w:pPr>
        <w:pStyle w:val="ds-markdown-paragraph"/>
        <w:numPr>
          <w:ilvl w:val="0"/>
          <w:numId w:val="5"/>
        </w:numPr>
        <w:shd w:val="clear" w:color="auto" w:fill="FFFFFF"/>
        <w:spacing w:after="0" w:afterAutospacing="0" w:line="360" w:lineRule="auto"/>
        <w:ind w:left="0"/>
        <w:jc w:val="both"/>
        <w:rPr>
          <w:color w:val="0F1115"/>
        </w:rPr>
      </w:pPr>
      <w:r w:rsidRPr="0032658E">
        <w:rPr>
          <w:rStyle w:val="lev"/>
          <w:color w:val="0F1115"/>
        </w:rPr>
        <w:t>Kambale</w:t>
      </w:r>
      <w:r w:rsidRPr="0032658E">
        <w:rPr>
          <w:color w:val="0F1115"/>
        </w:rPr>
        <w:t> calcule K = B^a mod p = g^{ab} mod p.</w:t>
      </w:r>
    </w:p>
    <w:p w:rsidR="0032658E" w:rsidRPr="0032658E" w:rsidRDefault="0032658E" w:rsidP="0032658E">
      <w:pPr>
        <w:pStyle w:val="ds-markdown-paragraph"/>
        <w:numPr>
          <w:ilvl w:val="0"/>
          <w:numId w:val="5"/>
        </w:numPr>
        <w:shd w:val="clear" w:color="auto" w:fill="FFFFFF"/>
        <w:spacing w:after="0" w:afterAutospacing="0" w:line="360" w:lineRule="auto"/>
        <w:ind w:left="0"/>
        <w:jc w:val="both"/>
        <w:rPr>
          <w:color w:val="0F1115"/>
        </w:rPr>
      </w:pPr>
      <w:r w:rsidRPr="0032658E">
        <w:rPr>
          <w:rStyle w:val="lev"/>
          <w:color w:val="0F1115"/>
        </w:rPr>
        <w:t>Belden</w:t>
      </w:r>
      <w:r w:rsidRPr="0032658E">
        <w:rPr>
          <w:color w:val="0F1115"/>
        </w:rPr>
        <w:t> calcule K = A^b mod p = g^{ab} mod p.</w:t>
      </w:r>
    </w:p>
    <w:p w:rsidR="00DB3518" w:rsidRPr="00DB3518" w:rsidRDefault="00DB3518" w:rsidP="00DB3518">
      <w:pPr>
        <w:spacing w:line="360" w:lineRule="auto"/>
        <w:jc w:val="both"/>
        <w:rPr>
          <w:rFonts w:ascii="Times New Roman" w:hAnsi="Times New Roman" w:cs="Times New Roman"/>
          <w:sz w:val="24"/>
          <w:szCs w:val="24"/>
        </w:rPr>
      </w:pPr>
      <w:r w:rsidRPr="0032658E">
        <w:rPr>
          <w:rFonts w:ascii="Times New Roman" w:hAnsi="Times New Roman" w:cs="Times New Roman"/>
          <w:sz w:val="24"/>
          <w:szCs w:val="24"/>
        </w:rPr>
        <w:t>Les deux obtiennent la même clé K, que peut exploiter un algorithme symétrique pour chiffrer les communications</w:t>
      </w:r>
      <w:r w:rsidR="0032658E">
        <w:rPr>
          <w:rFonts w:ascii="Times New Roman" w:hAnsi="Times New Roman" w:cs="Times New Roman"/>
          <w:sz w:val="24"/>
          <w:szCs w:val="24"/>
        </w:rPr>
        <w:t>.</w:t>
      </w:r>
    </w:p>
    <w:p w:rsidR="00DB3518" w:rsidRPr="0032658E" w:rsidRDefault="00DB3518" w:rsidP="00DB3518">
      <w:pPr>
        <w:spacing w:line="360" w:lineRule="auto"/>
        <w:jc w:val="both"/>
        <w:rPr>
          <w:rFonts w:ascii="Times New Roman" w:hAnsi="Times New Roman" w:cs="Times New Roman"/>
          <w:b/>
          <w:sz w:val="24"/>
          <w:szCs w:val="24"/>
        </w:rPr>
      </w:pPr>
      <w:r w:rsidRPr="0032658E">
        <w:rPr>
          <w:rFonts w:ascii="Times New Roman" w:hAnsi="Times New Roman" w:cs="Times New Roman"/>
          <w:b/>
          <w:sz w:val="24"/>
          <w:szCs w:val="24"/>
        </w:rPr>
        <w:t>Analogie pédagogique</w:t>
      </w:r>
    </w:p>
    <w:p w:rsidR="00DB3518" w:rsidRPr="00DB3518" w:rsidRDefault="00DB3518" w:rsidP="00DB3518">
      <w:pPr>
        <w:spacing w:line="360" w:lineRule="auto"/>
        <w:jc w:val="both"/>
        <w:rPr>
          <w:rFonts w:ascii="Times New Roman" w:hAnsi="Times New Roman" w:cs="Times New Roman"/>
          <w:sz w:val="24"/>
          <w:szCs w:val="24"/>
        </w:rPr>
      </w:pPr>
      <w:r w:rsidRPr="00DB3518">
        <w:rPr>
          <w:rFonts w:ascii="Times New Roman" w:hAnsi="Times New Roman" w:cs="Times New Roman"/>
          <w:sz w:val="24"/>
          <w:szCs w:val="24"/>
        </w:rPr>
        <w:t>L’analogie des couleurs : chaque participant mélange une couleur secrète à une couleur publique et échange les mélanges ; en re‑mélangeant avec sa couleur secrète initiale, ils obtiennent une couleur commune.</w:t>
      </w:r>
    </w:p>
    <w:p w:rsidR="00DB3518" w:rsidRPr="00DB3518" w:rsidRDefault="00DB3518" w:rsidP="00DB3518">
      <w:pPr>
        <w:spacing w:line="360" w:lineRule="auto"/>
        <w:jc w:val="both"/>
        <w:rPr>
          <w:rFonts w:ascii="Times New Roman" w:hAnsi="Times New Roman" w:cs="Times New Roman"/>
          <w:sz w:val="24"/>
          <w:szCs w:val="24"/>
        </w:rPr>
      </w:pPr>
    </w:p>
    <w:p w:rsidR="00DB3518" w:rsidRPr="0032658E" w:rsidRDefault="00DB3518" w:rsidP="00DB3518">
      <w:pPr>
        <w:spacing w:line="360" w:lineRule="auto"/>
        <w:jc w:val="both"/>
        <w:rPr>
          <w:rFonts w:ascii="Times New Roman" w:hAnsi="Times New Roman" w:cs="Times New Roman"/>
          <w:b/>
          <w:sz w:val="24"/>
          <w:szCs w:val="24"/>
        </w:rPr>
      </w:pPr>
      <w:r w:rsidRPr="0032658E">
        <w:rPr>
          <w:rFonts w:ascii="Times New Roman" w:hAnsi="Times New Roman" w:cs="Times New Roman"/>
          <w:b/>
          <w:sz w:val="24"/>
          <w:szCs w:val="24"/>
        </w:rPr>
        <w:lastRenderedPageBreak/>
        <w:t>Sécurité et attaques</w:t>
      </w:r>
    </w:p>
    <w:p w:rsidR="00DB3518" w:rsidRPr="0032658E" w:rsidRDefault="00DB3518" w:rsidP="0032658E">
      <w:pPr>
        <w:pStyle w:val="Paragraphedeliste"/>
        <w:numPr>
          <w:ilvl w:val="0"/>
          <w:numId w:val="6"/>
        </w:numPr>
        <w:spacing w:line="360" w:lineRule="auto"/>
        <w:jc w:val="both"/>
        <w:rPr>
          <w:rFonts w:ascii="Times New Roman" w:hAnsi="Times New Roman" w:cs="Times New Roman"/>
          <w:sz w:val="24"/>
          <w:szCs w:val="24"/>
        </w:rPr>
      </w:pPr>
      <w:r w:rsidRPr="0032658E">
        <w:rPr>
          <w:rFonts w:ascii="Times New Roman" w:hAnsi="Times New Roman" w:cs="Times New Roman"/>
          <w:sz w:val="24"/>
          <w:szCs w:val="24"/>
        </w:rPr>
        <w:t>Fondement : difficulté du problème du logarithme discret dans le groupe choisi.</w:t>
      </w:r>
    </w:p>
    <w:p w:rsidR="0032658E" w:rsidRDefault="00DB3518" w:rsidP="00DB3518">
      <w:pPr>
        <w:pStyle w:val="Paragraphedeliste"/>
        <w:numPr>
          <w:ilvl w:val="0"/>
          <w:numId w:val="6"/>
        </w:numPr>
        <w:spacing w:line="360" w:lineRule="auto"/>
        <w:jc w:val="both"/>
        <w:rPr>
          <w:rFonts w:ascii="Times New Roman" w:hAnsi="Times New Roman" w:cs="Times New Roman"/>
          <w:sz w:val="24"/>
          <w:szCs w:val="24"/>
        </w:rPr>
      </w:pPr>
      <w:r w:rsidRPr="0032658E">
        <w:rPr>
          <w:rFonts w:ascii="Times New Roman" w:hAnsi="Times New Roman" w:cs="Times New Roman"/>
          <w:sz w:val="24"/>
          <w:szCs w:val="24"/>
        </w:rPr>
        <w:t>Attaque principale : l’homme du milieu (MITM). Sans authentification, un attaquant intermédiaire peut intercepter A et B, substituer ses propres valeurs, établir deux clés distinctes (avec Alice et Bob) et relayer les messages, lisant et modifiant le trafic.</w:t>
      </w:r>
    </w:p>
    <w:p w:rsidR="00DB3518" w:rsidRPr="0032658E" w:rsidRDefault="00DB3518" w:rsidP="00DB3518">
      <w:pPr>
        <w:pStyle w:val="Paragraphedeliste"/>
        <w:numPr>
          <w:ilvl w:val="0"/>
          <w:numId w:val="6"/>
        </w:numPr>
        <w:spacing w:line="360" w:lineRule="auto"/>
        <w:jc w:val="both"/>
        <w:rPr>
          <w:rFonts w:ascii="Times New Roman" w:hAnsi="Times New Roman" w:cs="Times New Roman"/>
          <w:sz w:val="24"/>
          <w:szCs w:val="24"/>
        </w:rPr>
      </w:pPr>
      <w:r w:rsidRPr="0032658E">
        <w:rPr>
          <w:rFonts w:ascii="Times New Roman" w:hAnsi="Times New Roman" w:cs="Times New Roman"/>
          <w:sz w:val="24"/>
          <w:szCs w:val="24"/>
        </w:rPr>
        <w:t>Contre‑mesures : coupler DH avec des mécanismes d’authentification (certificats X.509, signatures numériques, pré‑partage de clés, ou protocoles d’échange authentifiés comme ECDHE + certificats dans TLS).</w:t>
      </w:r>
    </w:p>
    <w:p w:rsidR="00DB3518" w:rsidRPr="0032658E" w:rsidRDefault="00DB3518" w:rsidP="00DB3518">
      <w:pPr>
        <w:spacing w:line="360" w:lineRule="auto"/>
        <w:jc w:val="both"/>
        <w:rPr>
          <w:rFonts w:ascii="Times New Roman" w:hAnsi="Times New Roman" w:cs="Times New Roman"/>
          <w:b/>
          <w:sz w:val="24"/>
          <w:szCs w:val="24"/>
        </w:rPr>
      </w:pPr>
      <w:r w:rsidRPr="0032658E">
        <w:rPr>
          <w:rFonts w:ascii="Times New Roman" w:hAnsi="Times New Roman" w:cs="Times New Roman"/>
          <w:b/>
          <w:sz w:val="24"/>
          <w:szCs w:val="24"/>
        </w:rPr>
        <w:t>Variantes et améliorations</w:t>
      </w:r>
    </w:p>
    <w:p w:rsidR="00466863" w:rsidRDefault="00DB3518" w:rsidP="00DB3518">
      <w:pPr>
        <w:pStyle w:val="Paragraphedeliste"/>
        <w:numPr>
          <w:ilvl w:val="0"/>
          <w:numId w:val="7"/>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Diffie‑Hellman sur courbes elliptiques (ECDH) : offre une sécurité équivalente avec des tailles de clés beaucoup plus petites, avantageuse pour les dispositifs contraints.</w:t>
      </w:r>
    </w:p>
    <w:p w:rsidR="00DB3518" w:rsidRPr="00466863" w:rsidRDefault="00DB3518" w:rsidP="00DB3518">
      <w:pPr>
        <w:pStyle w:val="Paragraphedeliste"/>
        <w:numPr>
          <w:ilvl w:val="0"/>
          <w:numId w:val="7"/>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Groupes modulaires sûrs (p et g bien choisis) ; utilisation de paramètres éphémères (Ephemeral DH, ECDHE) pour assurer le perfect forward secrecy (PFS) : même si une clé privée longue durée est compromise, les sessions passées restent protégées.</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Analyse opérationnelle</w:t>
      </w:r>
    </w:p>
    <w:p w:rsidR="00DB3518" w:rsidRPr="00466863" w:rsidRDefault="00DB3518" w:rsidP="00466863">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DH est au cœur de la sécurité de nombreux protocoles (TLS, IPsec, SSH). L’implémentation correcte nécessite : génération de bons paramètres, protection contre les attaques par canal auxiliaire, et surtout authentification des partenaires pour éviter MITM. Les implémentations ont parfois été fragilisées par des paramètres faibles (groupes DHE de petite taille) ou par la réutilisation non sécurisée des secrets.</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SUJET 2 : LA CRYPTOGR</w:t>
      </w:r>
      <w:r w:rsidR="00466863">
        <w:rPr>
          <w:rFonts w:ascii="Times New Roman" w:hAnsi="Times New Roman" w:cs="Times New Roman"/>
          <w:b/>
          <w:sz w:val="24"/>
          <w:szCs w:val="24"/>
        </w:rPr>
        <w:t>APHIE ASYMÉTRIQUE ET SES USAGES</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3. Chiffrement asymétrique</w:t>
      </w:r>
    </w:p>
    <w:p w:rsidR="00DB3518" w:rsidRPr="00DB3518" w:rsidRDefault="00DB3518" w:rsidP="00466863">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La cryptographie asymétrique utilise une paire de clés : publique (librement distribuée) et privée (gardée secrète). Un message chiffré avec la clé publique ne peut être déchiffré qu’avec la clé privée correspondante (et vice‑versa pour la signature).</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Algorithmes notables</w:t>
      </w:r>
    </w:p>
    <w:p w:rsidR="00466863" w:rsidRDefault="00DB3518" w:rsidP="00DB3518">
      <w:pPr>
        <w:pStyle w:val="Paragraphedeliste"/>
        <w:numPr>
          <w:ilvl w:val="0"/>
          <w:numId w:val="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RSA (Rivest, Shamir, Adleman, 1978) : sécurité basée sur la factorisation d’entiers. Génération de clés : produit de deux grands nombres premiers p et q ; la clé publique est (n = p*q, e), la privée inclut d (l’inverse mod φ(n)).</w:t>
      </w:r>
    </w:p>
    <w:p w:rsidR="00466863" w:rsidRDefault="00DB3518" w:rsidP="00DB3518">
      <w:pPr>
        <w:pStyle w:val="Paragraphedeliste"/>
        <w:numPr>
          <w:ilvl w:val="0"/>
          <w:numId w:val="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lastRenderedPageBreak/>
        <w:t>Écueils : nécessité de tailles de clés importantes (au moins 2048 bits recommandé historiquement, mais migration vers 3072+ ou alternatives ECDSA/ECDH pour meilleures performances).</w:t>
      </w:r>
    </w:p>
    <w:p w:rsidR="00DB3518" w:rsidRPr="00466863" w:rsidRDefault="00DB3518" w:rsidP="00DB3518">
      <w:pPr>
        <w:pStyle w:val="Paragraphedeliste"/>
        <w:numPr>
          <w:ilvl w:val="0"/>
          <w:numId w:val="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 xml:space="preserve">Courbes elliptiques (ECC) : efficacité et petites tailles de clés (par ex. 256 bits ECC </w:t>
      </w:r>
      <w:r w:rsidRPr="00466863">
        <w:rPr>
          <w:rFonts w:ascii="Cambria Math" w:hAnsi="Cambria Math" w:cs="Cambria Math"/>
          <w:sz w:val="24"/>
          <w:szCs w:val="24"/>
        </w:rPr>
        <w:t>≃</w:t>
      </w:r>
      <w:r w:rsidRPr="00466863">
        <w:rPr>
          <w:rFonts w:ascii="Times New Roman" w:hAnsi="Times New Roman" w:cs="Times New Roman"/>
          <w:sz w:val="24"/>
          <w:szCs w:val="24"/>
        </w:rPr>
        <w:t xml:space="preserve"> 3072 bits RSA). ECDSA pour signatures, ECDH pour échange de clés.</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Avantages et inconvénients</w:t>
      </w:r>
    </w:p>
    <w:p w:rsidR="00466863" w:rsidRDefault="00DB3518" w:rsidP="00DB3518">
      <w:pPr>
        <w:pStyle w:val="Paragraphedeliste"/>
        <w:numPr>
          <w:ilvl w:val="0"/>
          <w:numId w:val="9"/>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Avantages : facilite la distribution de clés (pas de canal privé requis), permet la signature numérique et l’authentification.</w:t>
      </w:r>
    </w:p>
    <w:p w:rsidR="00DB3518" w:rsidRPr="00466863" w:rsidRDefault="00DB3518" w:rsidP="00DB3518">
      <w:pPr>
        <w:pStyle w:val="Paragraphedeliste"/>
        <w:numPr>
          <w:ilvl w:val="0"/>
          <w:numId w:val="9"/>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Inconvénients : plus lent, opérationnellement coûteux en calcul et en temps, vulnérable aux mauvaises implémentations, et potentiellement menacé par l’informatique quantique (algorithmes comme Shor pourraient casser RSA/ECC).</w:t>
      </w:r>
    </w:p>
    <w:p w:rsidR="00DB3518" w:rsidRPr="00DB3518" w:rsidRDefault="00DB3518" w:rsidP="00DB3518">
      <w:pPr>
        <w:spacing w:line="360" w:lineRule="auto"/>
        <w:jc w:val="both"/>
        <w:rPr>
          <w:rFonts w:ascii="Times New Roman" w:hAnsi="Times New Roman" w:cs="Times New Roman"/>
          <w:sz w:val="24"/>
          <w:szCs w:val="24"/>
        </w:rPr>
      </w:pPr>
      <w:r w:rsidRPr="00DB3518">
        <w:rPr>
          <w:rFonts w:ascii="Times New Roman" w:hAnsi="Times New Roman" w:cs="Times New Roman"/>
          <w:sz w:val="24"/>
          <w:szCs w:val="24"/>
        </w:rPr>
        <w:t>Modes pratiques : systèmes hybrides</w:t>
      </w:r>
    </w:p>
    <w:p w:rsidR="00DB3518" w:rsidRPr="00466863" w:rsidRDefault="00DB3518" w:rsidP="00DB3518">
      <w:pPr>
        <w:pStyle w:val="Paragraphedeliste"/>
        <w:numPr>
          <w:ilvl w:val="0"/>
          <w:numId w:val="10"/>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Dans la plupart des protocoles (ex. HTTPS/TLS), on utilise la cryptographie asymétrique pour établir une clé de session (échange) puis on bascule vers un chiffrement symétrique (AES, ChaCha20) pour le transfert de données. Cela permet de combiner la sécurité de distribution avec l'efficacité du chiffrement symétrique.</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4. Signature numérique</w:t>
      </w:r>
    </w:p>
    <w:p w:rsidR="00DB3518" w:rsidRPr="00466863" w:rsidRDefault="00466863" w:rsidP="00DB3518">
      <w:pPr>
        <w:spacing w:line="360" w:lineRule="auto"/>
        <w:jc w:val="both"/>
        <w:rPr>
          <w:rFonts w:ascii="Times New Roman" w:hAnsi="Times New Roman" w:cs="Times New Roman"/>
          <w:b/>
          <w:sz w:val="24"/>
          <w:szCs w:val="24"/>
        </w:rPr>
      </w:pPr>
      <w:r>
        <w:rPr>
          <w:rFonts w:ascii="Times New Roman" w:hAnsi="Times New Roman" w:cs="Times New Roman"/>
          <w:b/>
          <w:sz w:val="24"/>
          <w:szCs w:val="24"/>
        </w:rPr>
        <w:t>F</w:t>
      </w:r>
      <w:r w:rsidR="00DB3518" w:rsidRPr="00466863">
        <w:rPr>
          <w:rFonts w:ascii="Times New Roman" w:hAnsi="Times New Roman" w:cs="Times New Roman"/>
          <w:b/>
          <w:sz w:val="24"/>
          <w:szCs w:val="24"/>
        </w:rPr>
        <w:t>onctionnement</w:t>
      </w:r>
    </w:p>
    <w:p w:rsidR="00DB3518" w:rsidRPr="00DB3518" w:rsidRDefault="00DB3518" w:rsidP="00466863">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La signature numérique garantit l’intégrité, l’authenticité et la non‑répudiation. Principe : signer le condensé (hash) d’un message avec une clé privée ; la vérification s’effectue avec la clé publique correspondante. Algorithmes : RSA‑PKCS#1 v1.5, RSA‑PSS (plus sûr), DSA, ECDSA.</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Propriétés de sécurité</w:t>
      </w:r>
    </w:p>
    <w:p w:rsidR="00466863" w:rsidRDefault="00DB3518" w:rsidP="00DB3518">
      <w:pPr>
        <w:pStyle w:val="Paragraphedeliste"/>
        <w:numPr>
          <w:ilvl w:val="0"/>
          <w:numId w:val="10"/>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Intégrité : toute modification du message modifie son hash, rendant la signature invalide.</w:t>
      </w:r>
    </w:p>
    <w:p w:rsidR="00466863" w:rsidRDefault="00DB3518" w:rsidP="00DB3518">
      <w:pPr>
        <w:pStyle w:val="Paragraphedeliste"/>
        <w:numPr>
          <w:ilvl w:val="0"/>
          <w:numId w:val="10"/>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Authentification : la signature prouve que le détenteur de la clé privée a produit la signature.</w:t>
      </w:r>
    </w:p>
    <w:p w:rsidR="00DB3518" w:rsidRPr="00466863" w:rsidRDefault="00DB3518" w:rsidP="00DB3518">
      <w:pPr>
        <w:pStyle w:val="Paragraphedeliste"/>
        <w:numPr>
          <w:ilvl w:val="0"/>
          <w:numId w:val="10"/>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Non‑répudiation : à moins que la clé privée ne soit compromise, le signataire ne peut nier avoir signé.</w:t>
      </w:r>
    </w:p>
    <w:p w:rsidR="00DB3518" w:rsidRPr="00DB3518" w:rsidRDefault="00DB3518" w:rsidP="00DB3518">
      <w:pPr>
        <w:spacing w:line="360" w:lineRule="auto"/>
        <w:jc w:val="both"/>
        <w:rPr>
          <w:rFonts w:ascii="Times New Roman" w:hAnsi="Times New Roman" w:cs="Times New Roman"/>
          <w:sz w:val="24"/>
          <w:szCs w:val="24"/>
        </w:rPr>
      </w:pP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Vulnérabilités et précautions</w:t>
      </w:r>
    </w:p>
    <w:p w:rsidR="00466863" w:rsidRDefault="00DB3518" w:rsidP="00DB3518">
      <w:pPr>
        <w:pStyle w:val="Paragraphedeliste"/>
        <w:numPr>
          <w:ilvl w:val="0"/>
          <w:numId w:val="11"/>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Protection des clés privées : stockage sécurisé (HSM, modules TPM, cartes à puce).</w:t>
      </w:r>
    </w:p>
    <w:p w:rsidR="00466863" w:rsidRDefault="00DB3518" w:rsidP="00DB3518">
      <w:pPr>
        <w:pStyle w:val="Paragraphedeliste"/>
        <w:numPr>
          <w:ilvl w:val="0"/>
          <w:numId w:val="11"/>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Algorithmes de hash sûrs : éviter MD5 ou SHA‑1 ; préférer SHA‑256/384/512 ou familles SHA‑2/3.</w:t>
      </w:r>
    </w:p>
    <w:p w:rsidR="00DB3518" w:rsidRPr="00466863" w:rsidRDefault="00DB3518" w:rsidP="00DB3518">
      <w:pPr>
        <w:pStyle w:val="Paragraphedeliste"/>
        <w:numPr>
          <w:ilvl w:val="0"/>
          <w:numId w:val="11"/>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Signatures mal implémentées (par exemple, fuites via temporisations) peuvent compromettre la sécurité.</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5. Certificat numérique (X.509) et PKI</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Recherche et structure</w:t>
      </w:r>
    </w:p>
    <w:p w:rsidR="00DB3518" w:rsidRPr="00DB3518" w:rsidRDefault="00DB3518" w:rsidP="00466863">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Les certificats X.509 constituent le socle de la PKI (Public Key Infrastructure). Un certificat lie une clé publique à une entité identifiée (nom, organisation) et contient une période de validité, des extensions, et la signature d’une Autorité de Certification (CA).</w:t>
      </w:r>
    </w:p>
    <w:p w:rsidR="00466863" w:rsidRDefault="00466863" w:rsidP="00DB3518">
      <w:pPr>
        <w:spacing w:line="360" w:lineRule="auto"/>
        <w:jc w:val="both"/>
        <w:rPr>
          <w:rFonts w:ascii="Times New Roman" w:hAnsi="Times New Roman" w:cs="Times New Roman"/>
          <w:b/>
          <w:sz w:val="24"/>
          <w:szCs w:val="24"/>
        </w:rPr>
      </w:pPr>
      <w:r>
        <w:rPr>
          <w:rFonts w:ascii="Times New Roman" w:hAnsi="Times New Roman" w:cs="Times New Roman"/>
          <w:b/>
          <w:sz w:val="24"/>
          <w:szCs w:val="24"/>
        </w:rPr>
        <w:t>Fonctionnement de la confiance</w:t>
      </w:r>
    </w:p>
    <w:p w:rsidR="00466863" w:rsidRPr="00466863" w:rsidRDefault="00DB3518" w:rsidP="00DB3518">
      <w:pPr>
        <w:pStyle w:val="Paragraphedeliste"/>
        <w:numPr>
          <w:ilvl w:val="0"/>
          <w:numId w:val="12"/>
        </w:numPr>
        <w:spacing w:line="360" w:lineRule="auto"/>
        <w:jc w:val="both"/>
        <w:rPr>
          <w:rFonts w:ascii="Times New Roman" w:hAnsi="Times New Roman" w:cs="Times New Roman"/>
          <w:b/>
          <w:sz w:val="24"/>
          <w:szCs w:val="24"/>
        </w:rPr>
      </w:pPr>
      <w:r w:rsidRPr="00466863">
        <w:rPr>
          <w:rFonts w:ascii="Times New Roman" w:hAnsi="Times New Roman" w:cs="Times New Roman"/>
          <w:sz w:val="24"/>
          <w:szCs w:val="24"/>
        </w:rPr>
        <w:t>Autorités de Certification (CA) : émettent des certificats après vérification d’identité. Les navigateurs et systèmes d’exploitation intègrent un ensemble de CA racine de confiance.</w:t>
      </w:r>
    </w:p>
    <w:p w:rsidR="00DB3518" w:rsidRPr="00466863" w:rsidRDefault="00DB3518" w:rsidP="00DB3518">
      <w:pPr>
        <w:pStyle w:val="Paragraphedeliste"/>
        <w:numPr>
          <w:ilvl w:val="0"/>
          <w:numId w:val="12"/>
        </w:numPr>
        <w:spacing w:line="360" w:lineRule="auto"/>
        <w:jc w:val="both"/>
        <w:rPr>
          <w:rFonts w:ascii="Times New Roman" w:hAnsi="Times New Roman" w:cs="Times New Roman"/>
          <w:b/>
          <w:sz w:val="24"/>
          <w:szCs w:val="24"/>
        </w:rPr>
      </w:pPr>
      <w:r w:rsidRPr="00466863">
        <w:rPr>
          <w:rFonts w:ascii="Times New Roman" w:hAnsi="Times New Roman" w:cs="Times New Roman"/>
          <w:sz w:val="24"/>
          <w:szCs w:val="24"/>
        </w:rPr>
        <w:t>Chaîne de certification : certificat serveur → certificat intermédiaire → certificat racine (signé par une CA racine ou auto‑signé pour tests).</w:t>
      </w:r>
    </w:p>
    <w:p w:rsidR="00466863" w:rsidRDefault="00466863" w:rsidP="00DB3518">
      <w:pPr>
        <w:spacing w:line="360" w:lineRule="auto"/>
        <w:jc w:val="both"/>
        <w:rPr>
          <w:rFonts w:ascii="Times New Roman" w:hAnsi="Times New Roman" w:cs="Times New Roman"/>
          <w:b/>
          <w:sz w:val="24"/>
          <w:szCs w:val="24"/>
        </w:rPr>
      </w:pPr>
      <w:r>
        <w:rPr>
          <w:rFonts w:ascii="Times New Roman" w:hAnsi="Times New Roman" w:cs="Times New Roman"/>
          <w:b/>
          <w:sz w:val="24"/>
          <w:szCs w:val="24"/>
        </w:rPr>
        <w:t>Risques et incidents célèbres</w:t>
      </w:r>
    </w:p>
    <w:p w:rsidR="00466863" w:rsidRPr="00466863" w:rsidRDefault="00DB3518" w:rsidP="00DB3518">
      <w:pPr>
        <w:pStyle w:val="Paragraphedeliste"/>
        <w:numPr>
          <w:ilvl w:val="0"/>
          <w:numId w:val="13"/>
        </w:numPr>
        <w:spacing w:line="360" w:lineRule="auto"/>
        <w:jc w:val="both"/>
        <w:rPr>
          <w:rFonts w:ascii="Times New Roman" w:hAnsi="Times New Roman" w:cs="Times New Roman"/>
          <w:b/>
          <w:sz w:val="24"/>
          <w:szCs w:val="24"/>
        </w:rPr>
      </w:pPr>
      <w:r w:rsidRPr="00466863">
        <w:rPr>
          <w:rFonts w:ascii="Times New Roman" w:hAnsi="Times New Roman" w:cs="Times New Roman"/>
          <w:sz w:val="24"/>
          <w:szCs w:val="24"/>
        </w:rPr>
        <w:t>Compromission</w:t>
      </w:r>
      <w:r w:rsidR="00466863">
        <w:rPr>
          <w:rFonts w:ascii="Times New Roman" w:hAnsi="Times New Roman" w:cs="Times New Roman"/>
          <w:sz w:val="24"/>
          <w:szCs w:val="24"/>
        </w:rPr>
        <w:t xml:space="preserve"> de CA : ex. DigiNotar (2011) </w:t>
      </w:r>
      <w:r w:rsidRPr="00466863">
        <w:rPr>
          <w:rFonts w:ascii="Times New Roman" w:hAnsi="Times New Roman" w:cs="Times New Roman"/>
          <w:sz w:val="24"/>
          <w:szCs w:val="24"/>
        </w:rPr>
        <w:t>émission de certificats frauduleux a permis un MITM généralisé. Conséquence : retrait des certificats et crise de confiance.</w:t>
      </w:r>
    </w:p>
    <w:p w:rsidR="00466863" w:rsidRPr="00466863" w:rsidRDefault="00DB3518" w:rsidP="00DB3518">
      <w:pPr>
        <w:pStyle w:val="Paragraphedeliste"/>
        <w:numPr>
          <w:ilvl w:val="0"/>
          <w:numId w:val="13"/>
        </w:numPr>
        <w:spacing w:line="360" w:lineRule="auto"/>
        <w:jc w:val="both"/>
        <w:rPr>
          <w:rFonts w:ascii="Times New Roman" w:hAnsi="Times New Roman" w:cs="Times New Roman"/>
          <w:b/>
          <w:sz w:val="24"/>
          <w:szCs w:val="24"/>
        </w:rPr>
      </w:pPr>
      <w:r w:rsidRPr="00466863">
        <w:rPr>
          <w:rFonts w:ascii="Times New Roman" w:hAnsi="Times New Roman" w:cs="Times New Roman"/>
          <w:sz w:val="24"/>
          <w:szCs w:val="24"/>
        </w:rPr>
        <w:t>Erreurs d’émission : CA mal configurées ou erreurs administratives peuvent permettre l’émission de certificats non autorisés.</w:t>
      </w:r>
    </w:p>
    <w:p w:rsidR="00DB3518" w:rsidRPr="00466863" w:rsidRDefault="00DB3518" w:rsidP="00DB3518">
      <w:pPr>
        <w:pStyle w:val="Paragraphedeliste"/>
        <w:numPr>
          <w:ilvl w:val="0"/>
          <w:numId w:val="13"/>
        </w:numPr>
        <w:spacing w:line="360" w:lineRule="auto"/>
        <w:jc w:val="both"/>
        <w:rPr>
          <w:rFonts w:ascii="Times New Roman" w:hAnsi="Times New Roman" w:cs="Times New Roman"/>
          <w:b/>
          <w:sz w:val="24"/>
          <w:szCs w:val="24"/>
        </w:rPr>
      </w:pPr>
      <w:r w:rsidRPr="00466863">
        <w:rPr>
          <w:rFonts w:ascii="Times New Roman" w:hAnsi="Times New Roman" w:cs="Times New Roman"/>
          <w:sz w:val="24"/>
          <w:szCs w:val="24"/>
        </w:rPr>
        <w:t>Certificats auto‑signés : pratiques acceptables en interne, mais dangereux sur l’Internet public car ils ne sont pas reconnus par la chaîne de confiance.</w:t>
      </w:r>
    </w:p>
    <w:p w:rsidR="00DB3518" w:rsidRPr="00466863" w:rsidRDefault="00DB3518" w:rsidP="00DB3518">
      <w:pPr>
        <w:spacing w:line="360" w:lineRule="auto"/>
        <w:jc w:val="both"/>
        <w:rPr>
          <w:rFonts w:ascii="Times New Roman" w:hAnsi="Times New Roman" w:cs="Times New Roman"/>
          <w:b/>
          <w:sz w:val="24"/>
          <w:szCs w:val="24"/>
        </w:rPr>
      </w:pPr>
      <w:r w:rsidRPr="00466863">
        <w:rPr>
          <w:rFonts w:ascii="Times New Roman" w:hAnsi="Times New Roman" w:cs="Times New Roman"/>
          <w:b/>
          <w:sz w:val="24"/>
          <w:szCs w:val="24"/>
        </w:rPr>
        <w:t>Gestion opérationnelle</w:t>
      </w:r>
    </w:p>
    <w:p w:rsidR="00466863" w:rsidRDefault="00DB3518" w:rsidP="00DB3518">
      <w:pPr>
        <w:pStyle w:val="Paragraphedeliste"/>
        <w:numPr>
          <w:ilvl w:val="0"/>
          <w:numId w:val="14"/>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Processus de révocation : CRL (Certificate Revocation List) et OCSP (Online Certificate Status Protocol) pour vérifier la validité des certificats en temps réel. OCSP stapling améliore la performance et la confidentialité.</w:t>
      </w:r>
    </w:p>
    <w:p w:rsidR="00466863" w:rsidRDefault="00DB3518" w:rsidP="00DB3518">
      <w:pPr>
        <w:pStyle w:val="Paragraphedeliste"/>
        <w:numPr>
          <w:ilvl w:val="0"/>
          <w:numId w:val="14"/>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lastRenderedPageBreak/>
        <w:t>Rotation et renouvellement : définition de durées de validité raisonnables pour réduire l’impact des clés compromises.</w:t>
      </w:r>
    </w:p>
    <w:p w:rsidR="00DB3518" w:rsidRPr="00466863" w:rsidRDefault="00DB3518" w:rsidP="00DB3518">
      <w:pPr>
        <w:pStyle w:val="Paragraphedeliste"/>
        <w:numPr>
          <w:ilvl w:val="0"/>
          <w:numId w:val="14"/>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Transparence des certificats (Certificate Transparency) : journaux publics pour surveiller et détecter l’émission abusive de certificats.</w:t>
      </w: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466863" w:rsidRDefault="00466863" w:rsidP="00DB3518">
      <w:pPr>
        <w:spacing w:line="360" w:lineRule="auto"/>
        <w:jc w:val="both"/>
        <w:rPr>
          <w:rFonts w:ascii="Times New Roman" w:hAnsi="Times New Roman" w:cs="Times New Roman"/>
          <w:sz w:val="24"/>
          <w:szCs w:val="24"/>
        </w:rPr>
      </w:pPr>
    </w:p>
    <w:p w:rsidR="00DB3518" w:rsidRPr="00466863" w:rsidRDefault="00466863" w:rsidP="00466863">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CONCLUSION</w:t>
      </w:r>
    </w:p>
    <w:p w:rsidR="00DB3518" w:rsidRPr="00DB3518" w:rsidRDefault="00DB3518" w:rsidP="00466863">
      <w:pPr>
        <w:spacing w:line="360" w:lineRule="auto"/>
        <w:ind w:firstLine="709"/>
        <w:jc w:val="both"/>
        <w:rPr>
          <w:rFonts w:ascii="Times New Roman" w:hAnsi="Times New Roman" w:cs="Times New Roman"/>
          <w:sz w:val="24"/>
          <w:szCs w:val="24"/>
        </w:rPr>
      </w:pPr>
      <w:r w:rsidRPr="00DB3518">
        <w:rPr>
          <w:rFonts w:ascii="Times New Roman" w:hAnsi="Times New Roman" w:cs="Times New Roman"/>
          <w:sz w:val="24"/>
          <w:szCs w:val="24"/>
        </w:rPr>
        <w:t>La cryptographie moderne s’appuie sur la transparence des algorithmes et la rigueur mathématique pour construire des systèmes sécurisés. Néanmoins, la robustesse théorique n’est qu’une composante : la sécurité effective dépend fortement de l’implémentation, de la gestion des clés et de la mise en œuvre de protocoles correctement configurés. PKI et CA introduisent des éléments organisationnels de confiance qui peuvent devenir des points faibles si mal gérés. Enfin, l’émergence de l’informatique quantique et d’autres menaces émergentes oblige la communauté à anticiper des migrations d’algorithmes et des stratégies d’atténuation (cryptographie post‑quantique, adoption d’ECC, mise en œuvre systématique du PFS).</w:t>
      </w:r>
    </w:p>
    <w:p w:rsidR="00DB3518" w:rsidRPr="00DB3518" w:rsidRDefault="00DB3518" w:rsidP="00DB3518">
      <w:pPr>
        <w:spacing w:line="360" w:lineRule="auto"/>
        <w:jc w:val="both"/>
        <w:rPr>
          <w:rFonts w:ascii="Times New Roman" w:hAnsi="Times New Roman" w:cs="Times New Roman"/>
          <w:sz w:val="24"/>
          <w:szCs w:val="24"/>
        </w:rPr>
      </w:pPr>
    </w:p>
    <w:p w:rsidR="00466863" w:rsidRPr="00AE7A12" w:rsidRDefault="00DB3518" w:rsidP="00AE7A12">
      <w:pPr>
        <w:spacing w:line="360" w:lineRule="auto"/>
        <w:jc w:val="center"/>
        <w:rPr>
          <w:rFonts w:ascii="Times New Roman" w:hAnsi="Times New Roman" w:cs="Times New Roman"/>
          <w:b/>
          <w:sz w:val="28"/>
          <w:szCs w:val="28"/>
        </w:rPr>
      </w:pPr>
      <w:r w:rsidRPr="00AE7A12">
        <w:rPr>
          <w:rFonts w:ascii="Times New Roman" w:hAnsi="Times New Roman" w:cs="Times New Roman"/>
          <w:b/>
          <w:sz w:val="28"/>
          <w:szCs w:val="28"/>
        </w:rPr>
        <w:t>ANNEXES</w:t>
      </w:r>
    </w:p>
    <w:p w:rsidR="00DB3518" w:rsidRPr="00466863" w:rsidRDefault="00DB3518" w:rsidP="00466863">
      <w:pPr>
        <w:pStyle w:val="Paragraphedeliste"/>
        <w:numPr>
          <w:ilvl w:val="0"/>
          <w:numId w:val="17"/>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Glossaire</w:t>
      </w:r>
    </w:p>
    <w:p w:rsid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Algorithme symétrique : chiffrement utilisant la même clé pour chiffrer et déchiffrer (ex. AES).</w:t>
      </w:r>
    </w:p>
    <w:p w:rsid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Algorithme asymétrique : chiffrement utilisant une paire de clés publique/privée (ex. RSA, ECC).</w:t>
      </w:r>
    </w:p>
    <w:p w:rsid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Hash (condensé) : fonction à sens unique produisant une empreinte fixe d’un message (ex. SHA‑256).</w:t>
      </w:r>
    </w:p>
    <w:p w:rsid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PKI : infrastructure de gestion des clés publiques et des certificats.</w:t>
      </w:r>
    </w:p>
    <w:p w:rsid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CA : Autorité de Certification qui émet et signe des certificats.</w:t>
      </w:r>
    </w:p>
    <w:p w:rsidR="00DB3518" w:rsidRPr="00466863" w:rsidRDefault="00DB3518" w:rsidP="00DB3518">
      <w:pPr>
        <w:pStyle w:val="Paragraphedeliste"/>
        <w:numPr>
          <w:ilvl w:val="0"/>
          <w:numId w:val="15"/>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PFS : Perfect Forward Secrecy, propriété garantissant que la compromission d’une clé à long terme n’expose pas les sessions passées.</w:t>
      </w:r>
    </w:p>
    <w:p w:rsidR="00DB3518" w:rsidRPr="00466863" w:rsidRDefault="00466863" w:rsidP="00466863">
      <w:pPr>
        <w:pStyle w:val="Paragraphedeliste"/>
        <w:numPr>
          <w:ilvl w:val="0"/>
          <w:numId w:val="17"/>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Comparaison</w:t>
      </w:r>
      <w:r w:rsidR="00DB3518" w:rsidRPr="00466863">
        <w:rPr>
          <w:rFonts w:ascii="Times New Roman" w:hAnsi="Times New Roman" w:cs="Times New Roman"/>
          <w:b/>
          <w:sz w:val="24"/>
          <w:szCs w:val="24"/>
        </w:rPr>
        <w:t xml:space="preserve"> (algorithmes)</w:t>
      </w:r>
    </w:p>
    <w:p w:rsidR="00DB3518" w:rsidRPr="00466863" w:rsidRDefault="00DB3518" w:rsidP="00466863">
      <w:pPr>
        <w:pStyle w:val="Paragraphedeliste"/>
        <w:numPr>
          <w:ilvl w:val="0"/>
          <w:numId w:val="1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AES : chiffrement symétrique, rapide, 128/192/256 bits, bloc 128 bits.</w:t>
      </w:r>
    </w:p>
    <w:p w:rsidR="00DB3518" w:rsidRPr="00466863" w:rsidRDefault="00DB3518" w:rsidP="00466863">
      <w:pPr>
        <w:pStyle w:val="Paragraphedeliste"/>
        <w:numPr>
          <w:ilvl w:val="0"/>
          <w:numId w:val="1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RSA : chiffrement/signature asymétrique, basé sur factorisation, clé longue.</w:t>
      </w:r>
    </w:p>
    <w:p w:rsidR="00DB3518" w:rsidRPr="00466863" w:rsidRDefault="00DB3518" w:rsidP="00466863">
      <w:pPr>
        <w:pStyle w:val="Paragraphedeliste"/>
        <w:numPr>
          <w:ilvl w:val="0"/>
          <w:numId w:val="1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ECC : chiffrement/signature asymétrique, basé sur courbes elliptiques, clé courte.</w:t>
      </w:r>
    </w:p>
    <w:p w:rsidR="00DB3518" w:rsidRPr="00466863" w:rsidRDefault="00DB3518" w:rsidP="00DB3518">
      <w:pPr>
        <w:pStyle w:val="Paragraphedeliste"/>
        <w:numPr>
          <w:ilvl w:val="0"/>
          <w:numId w:val="18"/>
        </w:numPr>
        <w:spacing w:line="360" w:lineRule="auto"/>
        <w:jc w:val="both"/>
        <w:rPr>
          <w:rFonts w:ascii="Times New Roman" w:hAnsi="Times New Roman" w:cs="Times New Roman"/>
          <w:sz w:val="24"/>
          <w:szCs w:val="24"/>
        </w:rPr>
      </w:pPr>
      <w:r w:rsidRPr="00466863">
        <w:rPr>
          <w:rFonts w:ascii="Times New Roman" w:hAnsi="Times New Roman" w:cs="Times New Roman"/>
          <w:sz w:val="24"/>
          <w:szCs w:val="24"/>
        </w:rPr>
        <w:t>DH/ECDH : échange de clés (DH base, ECDH variante elliptique).</w:t>
      </w:r>
    </w:p>
    <w:p w:rsidR="006B2B84" w:rsidRPr="006B2B84" w:rsidRDefault="00DB3518" w:rsidP="006B2B84">
      <w:pPr>
        <w:pStyle w:val="Paragraphedeliste"/>
        <w:numPr>
          <w:ilvl w:val="0"/>
          <w:numId w:val="17"/>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Exemples concre</w:t>
      </w:r>
      <w:r w:rsidR="006B2B84" w:rsidRPr="006B2B84">
        <w:rPr>
          <w:rFonts w:ascii="Times New Roman" w:hAnsi="Times New Roman" w:cs="Times New Roman"/>
          <w:sz w:val="24"/>
          <w:szCs w:val="24"/>
        </w:rPr>
        <w:t>ts d’utilisation (cas d’usages)</w:t>
      </w:r>
    </w:p>
    <w:p w:rsidR="006B2B84" w:rsidRDefault="00DB3518" w:rsidP="00DB3518">
      <w:pPr>
        <w:pStyle w:val="Paragraphedeliste"/>
        <w:numPr>
          <w:ilvl w:val="0"/>
          <w:numId w:val="19"/>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HTTPS/TLS : combinaison d’ECDHE (échange de clés éphémères), certificat X.509 (authentification), et AES/GCM (chiffrement de session).</w:t>
      </w:r>
    </w:p>
    <w:p w:rsidR="006B2B84" w:rsidRDefault="00DB3518" w:rsidP="00DB3518">
      <w:pPr>
        <w:pStyle w:val="Paragraphedeliste"/>
        <w:numPr>
          <w:ilvl w:val="0"/>
          <w:numId w:val="19"/>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lastRenderedPageBreak/>
        <w:t>VPN (IPsec) : peut utiliser IKE (Internet Key Exchange) basé sur DH, et chiffrement symétrique pour le tunnel.</w:t>
      </w:r>
    </w:p>
    <w:p w:rsidR="00DB3518" w:rsidRPr="00AE7A12" w:rsidRDefault="00DB3518" w:rsidP="00DB3518">
      <w:pPr>
        <w:pStyle w:val="Paragraphedeliste"/>
        <w:numPr>
          <w:ilvl w:val="0"/>
          <w:numId w:val="19"/>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Signatures de code : développeurs signent des packages ou logiciels pour assurer l’intégrité et l’origine du code (ex. signatures GPG, signatures de paquets MSI/PKG).</w:t>
      </w:r>
    </w:p>
    <w:p w:rsidR="00DB3518" w:rsidRPr="00B8043D" w:rsidRDefault="00DB3518" w:rsidP="00DB3518">
      <w:pPr>
        <w:spacing w:line="360" w:lineRule="auto"/>
        <w:jc w:val="both"/>
        <w:rPr>
          <w:rFonts w:ascii="Times New Roman" w:hAnsi="Times New Roman" w:cs="Times New Roman"/>
          <w:b/>
          <w:sz w:val="24"/>
          <w:szCs w:val="24"/>
        </w:rPr>
      </w:pPr>
      <w:r w:rsidRPr="00B8043D">
        <w:rPr>
          <w:rFonts w:ascii="Times New Roman" w:hAnsi="Times New Roman" w:cs="Times New Roman"/>
          <w:b/>
          <w:sz w:val="24"/>
          <w:szCs w:val="24"/>
        </w:rPr>
        <w:t>F. Perspectives et défis futurs</w:t>
      </w:r>
    </w:p>
    <w:p w:rsidR="006B2B84" w:rsidRDefault="00DB3518" w:rsidP="006B2B84">
      <w:pPr>
        <w:pStyle w:val="Paragraphedeliste"/>
        <w:numPr>
          <w:ilvl w:val="0"/>
          <w:numId w:val="23"/>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Informatique quantique : menace aux algorithmes RSA/ECC par Shor ; transition vers des primitives résistantes au quantique (post‑quantum cryptography) est déjà en cours (NIST PQC).</w:t>
      </w:r>
    </w:p>
    <w:p w:rsidR="006B2B84" w:rsidRDefault="00DB3518" w:rsidP="006B2B84">
      <w:pPr>
        <w:pStyle w:val="Paragraphedeliste"/>
        <w:numPr>
          <w:ilvl w:val="0"/>
          <w:numId w:val="23"/>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Confidentialité face à l’analyse de trafic : protocoles et mécanismes (TLS1.3, chiffrement des métadonnées, protocols de protection de la vie privée).</w:t>
      </w:r>
    </w:p>
    <w:p w:rsidR="00DB3518" w:rsidRPr="006B2B84" w:rsidRDefault="00DB3518" w:rsidP="006B2B84">
      <w:pPr>
        <w:pStyle w:val="Paragraphedeliste"/>
        <w:numPr>
          <w:ilvl w:val="0"/>
          <w:numId w:val="23"/>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Crises de confiance dans la PKI : exploration de modèles alternatifs (Web of Trust, DANE avec DNSSEC, blockchain pour enre</w:t>
      </w:r>
      <w:r w:rsidR="006B2B84">
        <w:rPr>
          <w:rFonts w:ascii="Times New Roman" w:hAnsi="Times New Roman" w:cs="Times New Roman"/>
          <w:sz w:val="24"/>
          <w:szCs w:val="24"/>
        </w:rPr>
        <w:t xml:space="preserve">gistrement immuable des clés) </w:t>
      </w:r>
      <w:r w:rsidRPr="006B2B84">
        <w:rPr>
          <w:rFonts w:ascii="Times New Roman" w:hAnsi="Times New Roman" w:cs="Times New Roman"/>
          <w:sz w:val="24"/>
          <w:szCs w:val="24"/>
        </w:rPr>
        <w:t>chacun avec ses compromis.</w:t>
      </w:r>
    </w:p>
    <w:p w:rsidR="00DB3518" w:rsidRPr="00DB3518" w:rsidRDefault="00DB3518"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6B2B84" w:rsidRDefault="006B2B84" w:rsidP="00DB3518">
      <w:pPr>
        <w:spacing w:line="360" w:lineRule="auto"/>
        <w:jc w:val="both"/>
        <w:rPr>
          <w:rFonts w:ascii="Times New Roman" w:hAnsi="Times New Roman" w:cs="Times New Roman"/>
          <w:sz w:val="24"/>
          <w:szCs w:val="24"/>
        </w:rPr>
      </w:pPr>
    </w:p>
    <w:p w:rsidR="00AE7A12" w:rsidRDefault="00AE7A12" w:rsidP="006B2B84">
      <w:pPr>
        <w:spacing w:line="360" w:lineRule="auto"/>
        <w:jc w:val="center"/>
        <w:rPr>
          <w:rFonts w:ascii="Times New Roman" w:hAnsi="Times New Roman" w:cs="Times New Roman"/>
          <w:sz w:val="28"/>
          <w:szCs w:val="28"/>
        </w:rPr>
      </w:pPr>
    </w:p>
    <w:p w:rsidR="00DB3518" w:rsidRPr="006B2B84" w:rsidRDefault="006B2B84" w:rsidP="006B2B84">
      <w:pPr>
        <w:spacing w:line="360" w:lineRule="auto"/>
        <w:jc w:val="center"/>
        <w:rPr>
          <w:rFonts w:ascii="Times New Roman" w:hAnsi="Times New Roman" w:cs="Times New Roman"/>
          <w:sz w:val="28"/>
          <w:szCs w:val="28"/>
        </w:rPr>
      </w:pPr>
      <w:bookmarkStart w:id="0" w:name="_GoBack"/>
      <w:bookmarkEnd w:id="0"/>
      <w:r w:rsidRPr="006B2B84">
        <w:rPr>
          <w:rFonts w:ascii="Times New Roman" w:hAnsi="Times New Roman" w:cs="Times New Roman"/>
          <w:sz w:val="28"/>
          <w:szCs w:val="28"/>
        </w:rPr>
        <w:lastRenderedPageBreak/>
        <w:t>BIBLIOGRAPHIES</w:t>
      </w:r>
    </w:p>
    <w:p w:rsid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Diffie, W., &amp; Hellman, M. (1976). New directions in cryptography.</w:t>
      </w:r>
    </w:p>
    <w:p w:rsid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Rivest, R., Shamir, A., &amp; Adleman, L. (1978). A method for obtaining digital signatures and public‑key cryptosystems.</w:t>
      </w:r>
    </w:p>
    <w:p w:rsid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Katz, J., &amp; Lindell, Y. (2020). Introduction to Modern Cryptography.</w:t>
      </w:r>
    </w:p>
    <w:p w:rsid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Rescorla, E. (2018). The Transport Layer Security (TLS) Protocol Version 1.3.</w:t>
      </w:r>
    </w:p>
    <w:p w:rsid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Stallings, W. (2017). Cryptography and Network Security: Principles and Practice.</w:t>
      </w:r>
    </w:p>
    <w:p w:rsidR="00DB3518" w:rsidRPr="006B2B84" w:rsidRDefault="00DB3518" w:rsidP="00DB3518">
      <w:pPr>
        <w:pStyle w:val="Paragraphedeliste"/>
        <w:numPr>
          <w:ilvl w:val="0"/>
          <w:numId w:val="25"/>
        </w:numPr>
        <w:spacing w:line="360" w:lineRule="auto"/>
        <w:jc w:val="both"/>
        <w:rPr>
          <w:rFonts w:ascii="Times New Roman" w:hAnsi="Times New Roman" w:cs="Times New Roman"/>
          <w:sz w:val="24"/>
          <w:szCs w:val="24"/>
        </w:rPr>
      </w:pPr>
      <w:r w:rsidRPr="006B2B84">
        <w:rPr>
          <w:rFonts w:ascii="Times New Roman" w:hAnsi="Times New Roman" w:cs="Times New Roman"/>
          <w:sz w:val="24"/>
          <w:szCs w:val="24"/>
        </w:rPr>
        <w:t>Hoffman, P., &amp; Sullivan, B. (2022). Certificate Validation and the Risks of Self‑Signed Certificates.</w:t>
      </w:r>
    </w:p>
    <w:p w:rsidR="00DB3518" w:rsidRPr="00DB3518" w:rsidRDefault="00DB3518" w:rsidP="00DB3518">
      <w:pPr>
        <w:spacing w:line="360" w:lineRule="auto"/>
        <w:jc w:val="both"/>
        <w:rPr>
          <w:rFonts w:ascii="Times New Roman" w:hAnsi="Times New Roman" w:cs="Times New Roman"/>
          <w:sz w:val="24"/>
          <w:szCs w:val="24"/>
        </w:rPr>
      </w:pPr>
    </w:p>
    <w:p w:rsidR="001715B6" w:rsidRPr="00DB3518" w:rsidRDefault="00AE7A12" w:rsidP="00DB3518">
      <w:pPr>
        <w:spacing w:line="360" w:lineRule="auto"/>
        <w:jc w:val="both"/>
        <w:rPr>
          <w:rFonts w:ascii="Times New Roman" w:hAnsi="Times New Roman" w:cs="Times New Roman"/>
          <w:sz w:val="24"/>
          <w:szCs w:val="24"/>
        </w:rPr>
      </w:pPr>
    </w:p>
    <w:sectPr w:rsidR="001715B6" w:rsidRPr="00DB35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941526"/>
      <w:docPartObj>
        <w:docPartGallery w:val="Page Numbers (Top of Page)"/>
        <w:docPartUnique/>
      </w:docPartObj>
    </w:sdtPr>
    <w:sdtEndPr/>
    <w:sdtContent>
      <w:p w:rsidR="0012195F" w:rsidRDefault="00AE7A12">
        <w:pPr>
          <w:pStyle w:val="En-tte"/>
          <w:jc w:val="center"/>
        </w:pPr>
        <w:r>
          <w:fldChar w:fldCharType="begin"/>
        </w:r>
        <w:r>
          <w:instrText>PAGE   \* MERGEFORMAT</w:instrText>
        </w:r>
        <w:r>
          <w:fldChar w:fldCharType="separate"/>
        </w:r>
        <w:r>
          <w:rPr>
            <w:noProof/>
          </w:rPr>
          <w:t>1</w:t>
        </w:r>
        <w:r>
          <w:fldChar w:fldCharType="end"/>
        </w:r>
      </w:p>
    </w:sdtContent>
  </w:sdt>
  <w:p w:rsidR="0012195F" w:rsidRDefault="00AE7A12">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13EC"/>
    <w:multiLevelType w:val="hybridMultilevel"/>
    <w:tmpl w:val="DCC04B68"/>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6C66E6"/>
    <w:multiLevelType w:val="hybridMultilevel"/>
    <w:tmpl w:val="B2528250"/>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E03C1D"/>
    <w:multiLevelType w:val="hybridMultilevel"/>
    <w:tmpl w:val="D0141FEC"/>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3D5BD4"/>
    <w:multiLevelType w:val="hybridMultilevel"/>
    <w:tmpl w:val="2286CDD4"/>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C77E7B"/>
    <w:multiLevelType w:val="hybridMultilevel"/>
    <w:tmpl w:val="295276FA"/>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C90034"/>
    <w:multiLevelType w:val="hybridMultilevel"/>
    <w:tmpl w:val="0CEADB62"/>
    <w:lvl w:ilvl="0" w:tplc="C434B492">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262E7C4D"/>
    <w:multiLevelType w:val="hybridMultilevel"/>
    <w:tmpl w:val="EDF8DF60"/>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780E49"/>
    <w:multiLevelType w:val="hybridMultilevel"/>
    <w:tmpl w:val="51EEA1A6"/>
    <w:lvl w:ilvl="0" w:tplc="14102B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722588A"/>
    <w:multiLevelType w:val="hybridMultilevel"/>
    <w:tmpl w:val="BB02E6FA"/>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5D5A16"/>
    <w:multiLevelType w:val="hybridMultilevel"/>
    <w:tmpl w:val="A1329C4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01644BA"/>
    <w:multiLevelType w:val="hybridMultilevel"/>
    <w:tmpl w:val="BAC23464"/>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6BD7349"/>
    <w:multiLevelType w:val="hybridMultilevel"/>
    <w:tmpl w:val="204EA02C"/>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E92056"/>
    <w:multiLevelType w:val="hybridMultilevel"/>
    <w:tmpl w:val="5282E004"/>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CE66910"/>
    <w:multiLevelType w:val="hybridMultilevel"/>
    <w:tmpl w:val="99CA63DC"/>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4B65C3"/>
    <w:multiLevelType w:val="hybridMultilevel"/>
    <w:tmpl w:val="4702854E"/>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932754"/>
    <w:multiLevelType w:val="hybridMultilevel"/>
    <w:tmpl w:val="DCC88C9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F70256D"/>
    <w:multiLevelType w:val="hybridMultilevel"/>
    <w:tmpl w:val="80469EDC"/>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7976B14"/>
    <w:multiLevelType w:val="hybridMultilevel"/>
    <w:tmpl w:val="B3EAC5B2"/>
    <w:lvl w:ilvl="0" w:tplc="C434B492">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69971DA2"/>
    <w:multiLevelType w:val="hybridMultilevel"/>
    <w:tmpl w:val="56044DEA"/>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B590A3D"/>
    <w:multiLevelType w:val="hybridMultilevel"/>
    <w:tmpl w:val="DF8E0FD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C135D44"/>
    <w:multiLevelType w:val="hybridMultilevel"/>
    <w:tmpl w:val="9C8ADB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09019D6"/>
    <w:multiLevelType w:val="multilevel"/>
    <w:tmpl w:val="CA8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E0373"/>
    <w:multiLevelType w:val="hybridMultilevel"/>
    <w:tmpl w:val="0EBC7DBA"/>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8E235BD"/>
    <w:multiLevelType w:val="hybridMultilevel"/>
    <w:tmpl w:val="AF5AB6C4"/>
    <w:lvl w:ilvl="0" w:tplc="C434B4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D7D6CD9"/>
    <w:multiLevelType w:val="hybridMultilevel"/>
    <w:tmpl w:val="49B067FA"/>
    <w:lvl w:ilvl="0" w:tplc="C178BAA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20"/>
  </w:num>
  <w:num w:numId="4">
    <w:abstractNumId w:val="15"/>
  </w:num>
  <w:num w:numId="5">
    <w:abstractNumId w:val="21"/>
  </w:num>
  <w:num w:numId="6">
    <w:abstractNumId w:val="8"/>
  </w:num>
  <w:num w:numId="7">
    <w:abstractNumId w:val="14"/>
  </w:num>
  <w:num w:numId="8">
    <w:abstractNumId w:val="4"/>
  </w:num>
  <w:num w:numId="9">
    <w:abstractNumId w:val="13"/>
  </w:num>
  <w:num w:numId="10">
    <w:abstractNumId w:val="16"/>
  </w:num>
  <w:num w:numId="11">
    <w:abstractNumId w:val="12"/>
  </w:num>
  <w:num w:numId="12">
    <w:abstractNumId w:val="11"/>
  </w:num>
  <w:num w:numId="13">
    <w:abstractNumId w:val="10"/>
  </w:num>
  <w:num w:numId="14">
    <w:abstractNumId w:val="2"/>
  </w:num>
  <w:num w:numId="15">
    <w:abstractNumId w:val="23"/>
  </w:num>
  <w:num w:numId="16">
    <w:abstractNumId w:val="19"/>
  </w:num>
  <w:num w:numId="17">
    <w:abstractNumId w:val="9"/>
  </w:num>
  <w:num w:numId="18">
    <w:abstractNumId w:val="0"/>
  </w:num>
  <w:num w:numId="19">
    <w:abstractNumId w:val="5"/>
  </w:num>
  <w:num w:numId="20">
    <w:abstractNumId w:val="1"/>
  </w:num>
  <w:num w:numId="21">
    <w:abstractNumId w:val="6"/>
  </w:num>
  <w:num w:numId="22">
    <w:abstractNumId w:val="24"/>
  </w:num>
  <w:num w:numId="23">
    <w:abstractNumId w:val="3"/>
  </w:num>
  <w:num w:numId="24">
    <w:abstractNumId w:val="22"/>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518"/>
    <w:rsid w:val="00004EED"/>
    <w:rsid w:val="001E3E51"/>
    <w:rsid w:val="0032658E"/>
    <w:rsid w:val="00466863"/>
    <w:rsid w:val="00662479"/>
    <w:rsid w:val="00690399"/>
    <w:rsid w:val="006B2B84"/>
    <w:rsid w:val="00AE7A12"/>
    <w:rsid w:val="00B8043D"/>
    <w:rsid w:val="00DB3518"/>
    <w:rsid w:val="00E57C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AC19E"/>
  <w15:chartTrackingRefBased/>
  <w15:docId w15:val="{BD82BD81-E354-40F9-AC3C-7D727A37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62479"/>
    <w:pPr>
      <w:ind w:left="720"/>
      <w:contextualSpacing/>
    </w:pPr>
  </w:style>
  <w:style w:type="paragraph" w:customStyle="1" w:styleId="ds-markdown-paragraph">
    <w:name w:val="ds-markdown-paragraph"/>
    <w:basedOn w:val="Normal"/>
    <w:rsid w:val="003265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658E"/>
    <w:rPr>
      <w:b/>
      <w:bCs/>
    </w:rPr>
  </w:style>
  <w:style w:type="character" w:styleId="Lienhypertexte">
    <w:name w:val="Hyperlink"/>
    <w:basedOn w:val="Policepardfaut"/>
    <w:uiPriority w:val="99"/>
    <w:semiHidden/>
    <w:unhideWhenUsed/>
    <w:rsid w:val="006B2B84"/>
    <w:rPr>
      <w:color w:val="0000FF"/>
      <w:u w:val="single"/>
    </w:rPr>
  </w:style>
  <w:style w:type="paragraph" w:styleId="En-tte">
    <w:name w:val="header"/>
    <w:basedOn w:val="Normal"/>
    <w:link w:val="En-tteCar"/>
    <w:uiPriority w:val="99"/>
    <w:unhideWhenUsed/>
    <w:rsid w:val="006B2B84"/>
    <w:pPr>
      <w:tabs>
        <w:tab w:val="center" w:pos="4536"/>
        <w:tab w:val="right" w:pos="9072"/>
      </w:tabs>
      <w:spacing w:after="0" w:line="240" w:lineRule="auto"/>
    </w:pPr>
  </w:style>
  <w:style w:type="character" w:customStyle="1" w:styleId="En-tteCar">
    <w:name w:val="En-tête Car"/>
    <w:basedOn w:val="Policepardfaut"/>
    <w:link w:val="En-tte"/>
    <w:uiPriority w:val="99"/>
    <w:rsid w:val="006B2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495939">
      <w:bodyDiv w:val="1"/>
      <w:marLeft w:val="0"/>
      <w:marRight w:val="0"/>
      <w:marTop w:val="0"/>
      <w:marBottom w:val="0"/>
      <w:divBdr>
        <w:top w:val="none" w:sz="0" w:space="0" w:color="auto"/>
        <w:left w:val="none" w:sz="0" w:space="0" w:color="auto"/>
        <w:bottom w:val="none" w:sz="0" w:space="0" w:color="auto"/>
        <w:right w:val="none" w:sz="0" w:space="0" w:color="auto"/>
      </w:divBdr>
    </w:div>
    <w:div w:id="979001252">
      <w:bodyDiv w:val="1"/>
      <w:marLeft w:val="0"/>
      <w:marRight w:val="0"/>
      <w:marTop w:val="0"/>
      <w:marBottom w:val="0"/>
      <w:divBdr>
        <w:top w:val="none" w:sz="0" w:space="0" w:color="auto"/>
        <w:left w:val="none" w:sz="0" w:space="0" w:color="auto"/>
        <w:bottom w:val="none" w:sz="0" w:space="0" w:color="auto"/>
        <w:right w:val="none" w:sz="0" w:space="0" w:color="auto"/>
      </w:divBdr>
      <w:divsChild>
        <w:div w:id="1130829965">
          <w:blockQuote w:val="1"/>
          <w:marLeft w:val="0"/>
          <w:marRight w:val="0"/>
          <w:marTop w:val="0"/>
          <w:marBottom w:val="0"/>
          <w:divBdr>
            <w:top w:val="none" w:sz="0" w:space="0" w:color="auto"/>
            <w:left w:val="none" w:sz="0" w:space="0" w:color="auto"/>
            <w:bottom w:val="none" w:sz="0" w:space="0" w:color="auto"/>
            <w:right w:val="none" w:sz="0" w:space="0" w:color="auto"/>
          </w:divBdr>
        </w:div>
        <w:div w:id="744038488">
          <w:blockQuote w:val="1"/>
          <w:marLeft w:val="0"/>
          <w:marRight w:val="0"/>
          <w:marTop w:val="0"/>
          <w:marBottom w:val="0"/>
          <w:divBdr>
            <w:top w:val="none" w:sz="0" w:space="0" w:color="auto"/>
            <w:left w:val="none" w:sz="0" w:space="0" w:color="auto"/>
            <w:bottom w:val="none" w:sz="0" w:space="0" w:color="auto"/>
            <w:right w:val="none" w:sz="0" w:space="0" w:color="auto"/>
          </w:divBdr>
        </w:div>
        <w:div w:id="1784576133">
          <w:blockQuote w:val="1"/>
          <w:marLeft w:val="0"/>
          <w:marRight w:val="0"/>
          <w:marTop w:val="0"/>
          <w:marBottom w:val="0"/>
          <w:divBdr>
            <w:top w:val="none" w:sz="0" w:space="0" w:color="auto"/>
            <w:left w:val="none" w:sz="0" w:space="0" w:color="auto"/>
            <w:bottom w:val="none" w:sz="0" w:space="0" w:color="auto"/>
            <w:right w:val="none" w:sz="0" w:space="0" w:color="auto"/>
          </w:divBdr>
        </w:div>
        <w:div w:id="222110048">
          <w:blockQuote w:val="1"/>
          <w:marLeft w:val="0"/>
          <w:marRight w:val="0"/>
          <w:marTop w:val="0"/>
          <w:marBottom w:val="0"/>
          <w:divBdr>
            <w:top w:val="none" w:sz="0" w:space="0" w:color="auto"/>
            <w:left w:val="none" w:sz="0" w:space="0" w:color="auto"/>
            <w:bottom w:val="none" w:sz="0" w:space="0" w:color="auto"/>
            <w:right w:val="none" w:sz="0" w:space="0" w:color="auto"/>
          </w:divBdr>
        </w:div>
        <w:div w:id="2091151170">
          <w:blockQuote w:val="1"/>
          <w:marLeft w:val="0"/>
          <w:marRight w:val="0"/>
          <w:marTop w:val="0"/>
          <w:marBottom w:val="0"/>
          <w:divBdr>
            <w:top w:val="none" w:sz="0" w:space="0" w:color="auto"/>
            <w:left w:val="none" w:sz="0" w:space="0" w:color="auto"/>
            <w:bottom w:val="none" w:sz="0" w:space="0" w:color="auto"/>
            <w:right w:val="none" w:sz="0" w:space="0" w:color="auto"/>
          </w:divBdr>
        </w:div>
        <w:div w:id="282856537">
          <w:blockQuote w:val="1"/>
          <w:marLeft w:val="0"/>
          <w:marRight w:val="0"/>
          <w:marTop w:val="0"/>
          <w:marBottom w:val="0"/>
          <w:divBdr>
            <w:top w:val="none" w:sz="0" w:space="0" w:color="auto"/>
            <w:left w:val="none" w:sz="0" w:space="0" w:color="auto"/>
            <w:bottom w:val="none" w:sz="0" w:space="0" w:color="auto"/>
            <w:right w:val="none" w:sz="0" w:space="0" w:color="auto"/>
          </w:divBdr>
        </w:div>
        <w:div w:id="791023377">
          <w:blockQuote w:val="1"/>
          <w:marLeft w:val="0"/>
          <w:marRight w:val="0"/>
          <w:marTop w:val="0"/>
          <w:marBottom w:val="0"/>
          <w:divBdr>
            <w:top w:val="none" w:sz="0" w:space="0" w:color="auto"/>
            <w:left w:val="none" w:sz="0" w:space="0" w:color="auto"/>
            <w:bottom w:val="none" w:sz="0" w:space="0" w:color="auto"/>
            <w:right w:val="none" w:sz="0" w:space="0" w:color="auto"/>
          </w:divBdr>
        </w:div>
        <w:div w:id="1967352052">
          <w:blockQuote w:val="1"/>
          <w:marLeft w:val="0"/>
          <w:marRight w:val="0"/>
          <w:marTop w:val="0"/>
          <w:marBottom w:val="0"/>
          <w:divBdr>
            <w:top w:val="none" w:sz="0" w:space="0" w:color="auto"/>
            <w:left w:val="none" w:sz="0" w:space="0" w:color="auto"/>
            <w:bottom w:val="none" w:sz="0" w:space="0" w:color="auto"/>
            <w:right w:val="none" w:sz="0" w:space="0" w:color="auto"/>
          </w:divBdr>
        </w:div>
        <w:div w:id="198471683">
          <w:blockQuote w:val="1"/>
          <w:marLeft w:val="0"/>
          <w:marRight w:val="0"/>
          <w:marTop w:val="0"/>
          <w:marBottom w:val="0"/>
          <w:divBdr>
            <w:top w:val="none" w:sz="0" w:space="0" w:color="auto"/>
            <w:left w:val="none" w:sz="0" w:space="0" w:color="auto"/>
            <w:bottom w:val="none" w:sz="0" w:space="0" w:color="auto"/>
            <w:right w:val="none" w:sz="0" w:space="0" w:color="auto"/>
          </w:divBdr>
        </w:div>
        <w:div w:id="839274009">
          <w:blockQuote w:val="1"/>
          <w:marLeft w:val="0"/>
          <w:marRight w:val="0"/>
          <w:marTop w:val="0"/>
          <w:marBottom w:val="0"/>
          <w:divBdr>
            <w:top w:val="none" w:sz="0" w:space="0" w:color="auto"/>
            <w:left w:val="none" w:sz="0" w:space="0" w:color="auto"/>
            <w:bottom w:val="none" w:sz="0" w:space="0" w:color="auto"/>
            <w:right w:val="none" w:sz="0" w:space="0" w:color="auto"/>
          </w:divBdr>
        </w:div>
        <w:div w:id="118536461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869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aconline.edu.cd" TargetMode="External"/><Relationship Id="rId5" Type="http://schemas.openxmlformats.org/officeDocument/2006/relationships/hyperlink" Target="mailto:contact@uaconline.edu.c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2043</Words>
  <Characters>11241</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Dieudonné</dc:creator>
  <cp:keywords/>
  <dc:description/>
  <cp:lastModifiedBy>Dieudonné</cp:lastModifiedBy>
  <cp:revision>1</cp:revision>
  <dcterms:created xsi:type="dcterms:W3CDTF">2026-03-26T10:26:00Z</dcterms:created>
  <dcterms:modified xsi:type="dcterms:W3CDTF">2026-03-26T12:09:00Z</dcterms:modified>
</cp:coreProperties>
</file>