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FAQ – Institutions partenaires</w:t>
      </w:r>
    </w:p>
    <w:p/>
    <w:p>
      <w:r>
        <w:t>Le partenariat est-il payant ?</w:t>
      </w:r>
    </w:p>
    <w:p>
      <w:r>
        <w:t>Non.</w:t>
      </w:r>
    </w:p>
    <w:p/>
    <w:p>
      <w:r>
        <w:t>Devons-nous sélectionner les startups ?</w:t>
      </w:r>
    </w:p>
    <w:p>
      <w:r>
        <w:t>Non, uniquement relayer.</w:t>
      </w:r>
    </w:p>
    <w:p/>
    <w:p>
      <w:r>
        <w:t>Peut-on participer au jury ?</w:t>
      </w:r>
    </w:p>
    <w:p>
      <w:r>
        <w:t>Oui, sur une base volontaire.</w:t>
      </w:r>
    </w:p>
    <w:p/>
    <w:p>
      <w:r>
        <w:t>Les critères sont-ils stricts ?</w:t>
      </w:r>
    </w:p>
    <w:p>
      <w:r>
        <w:t>Non, ils sont indicatifs.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