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jc w:val="center"/>
      </w:pPr>
      <w:r>
        <w:rPr>
          <w:rFonts w:ascii="Calibri" w:hAnsi="Calibri"/>
          <w:b/>
          <w:color w:val="0F172A"/>
          <w:sz w:val="28"/>
        </w:rPr>
        <w:t>AZƏRBAYCAN DÖVLƏT NEFT VƏ SƏNAYE UNİVERSİTETİ (ADNSU)</w:t>
        <w:br/>
      </w:r>
      <w:r>
        <w:rPr>
          <w:rFonts w:ascii="Calibri" w:hAnsi="Calibri"/>
          <w:b/>
          <w:color w:val="475569"/>
          <w:sz w:val="24"/>
        </w:rPr>
        <w:t>RƏQƏMSAL TEXNOLOGİYALAR KAFEDRASI</w:t>
      </w:r>
    </w:p>
    <w:p>
      <w:pPr>
        <w:spacing w:before="1200" w:after="200"/>
        <w:jc w:val="center"/>
      </w:pPr>
      <w:r>
        <w:rPr>
          <w:rFonts w:ascii="Calibri" w:hAnsi="Calibri"/>
          <w:b/>
          <w:color w:val="0E7490"/>
          <w:sz w:val="26"/>
        </w:rPr>
        <w:t>YEKUN TƏDQİQAT VƏ DİPLOM LAYİHƏSİ HESABATI</w:t>
        <w:br/>
      </w:r>
      <w:r>
        <w:rPr>
          <w:rFonts w:ascii="Calibri" w:hAnsi="Calibri"/>
          <w:b/>
          <w:color w:val="0F172A"/>
          <w:sz w:val="40"/>
        </w:rPr>
        <w:t>CloudRDR — Bulud Anbarlarında Ransomware Hücumlarının Avtomatlaşdırılmış Aşkarlanması, Hesab Dondurulması və Sıfır-Etibarlı Kriptoqrafik Bərpası</w:t>
      </w:r>
    </w:p>
    <w:p>
      <w:pPr>
        <w:spacing w:before="300" w:after="1000"/>
        <w:jc w:val="center"/>
      </w:pPr>
      <w:r>
        <w:rPr>
          <w:rFonts w:ascii="Calibri" w:hAnsi="Calibri"/>
          <w:i/>
          <w:color w:val="334155"/>
          <w:sz w:val="22"/>
        </w:rPr>
        <w:t>Birləşdirilmiş Tədris Fənləri:</w:t>
        <w:br/>
        <w:t>1. İnformasiya Təhlükəsizliyi Menecment Sistemləri (İSMS)</w:t>
        <w:br/>
        <w:t>2. Bulud Texnologiyalarında Təhlükəsizlik (Cloud Security)</w:t>
        <w:br/>
        <w:t>3. Kriptoqrafiyanın Əsasları (Foundations of Cryptography)</w:t>
      </w:r>
    </w:p>
    <w:tbl>
      <w:tblPr>
        <w:tblW w:type="auto" w:w="0"/>
        <w:jc w:val="center"/>
        <w:tblLook w:firstColumn="1" w:firstRow="1" w:lastColumn="0" w:lastRow="0" w:noHBand="0" w:noVBand="1" w:val="04A0"/>
      </w:tblPr>
      <w:tblGrid>
        <w:gridCol w:w="4536"/>
        <w:gridCol w:w="4536"/>
      </w:tblGrid>
      <w:tr>
        <w:tc>
          <w:tcPr>
            <w:tcW w:type="dxa" w:w="4464"/>
            <w:tcMar>
              <w:top w:w="60" w:type="dxa"/>
              <w:bottom w:w="60" w:type="dxa"/>
              <w:left w:w="80" w:type="dxa"/>
              <w:right w:w="80" w:type="dxa"/>
            </w:tcMar>
          </w:tcPr>
          <w:p>
            <w:r>
              <w:rPr>
                <w:rFonts w:ascii="Calibri" w:hAnsi="Calibri"/>
                <w:b/>
                <w:color w:val="475569"/>
                <w:sz w:val="21"/>
              </w:rPr>
              <w:t>Tələbə / Layihə Rəhbəri:</w:t>
            </w:r>
          </w:p>
        </w:tc>
        <w:tc>
          <w:tcPr>
            <w:tcW w:type="dxa" w:w="4608"/>
            <w:tcMar>
              <w:top w:w="60" w:type="dxa"/>
              <w:bottom w:w="60" w:type="dxa"/>
              <w:left w:w="80" w:type="dxa"/>
              <w:right w:w="80" w:type="dxa"/>
            </w:tcMar>
          </w:tcPr>
          <w:p>
            <w:r>
              <w:rPr>
                <w:rFonts w:ascii="Calibri" w:hAnsi="Calibri"/>
                <w:color w:val="0F172A"/>
                <w:sz w:val="21"/>
              </w:rPr>
              <w:t>Mübariz Paşayev (Project Manager &amp; GRC Lead)</w:t>
            </w:r>
          </w:p>
        </w:tc>
      </w:tr>
      <w:tr>
        <w:tc>
          <w:tcPr>
            <w:tcW w:type="dxa" w:w="4464"/>
            <w:tcMar>
              <w:top w:w="60" w:type="dxa"/>
              <w:bottom w:w="60" w:type="dxa"/>
              <w:left w:w="80" w:type="dxa"/>
              <w:right w:w="80" w:type="dxa"/>
            </w:tcMar>
          </w:tcPr>
          <w:p>
            <w:r>
              <w:rPr>
                <w:rFonts w:ascii="Calibri" w:hAnsi="Calibri"/>
                <w:b/>
                <w:color w:val="475569"/>
                <w:sz w:val="21"/>
              </w:rPr>
              <w:t>Elmi Rəhbər / Müəllim:</w:t>
            </w:r>
          </w:p>
        </w:tc>
        <w:tc>
          <w:tcPr>
            <w:tcW w:type="dxa" w:w="4608"/>
            <w:tcMar>
              <w:top w:w="60" w:type="dxa"/>
              <w:bottom w:w="60" w:type="dxa"/>
              <w:left w:w="80" w:type="dxa"/>
              <w:right w:w="80" w:type="dxa"/>
            </w:tcMar>
          </w:tcPr>
          <w:p>
            <w:r>
              <w:rPr>
                <w:rFonts w:ascii="Calibri" w:hAnsi="Calibri"/>
                <w:color w:val="0F172A"/>
                <w:sz w:val="21"/>
              </w:rPr>
              <w:t>Xatirə Həsənli (Rəqəmsal Texnologiyalar Kafedrası)</w:t>
            </w:r>
          </w:p>
        </w:tc>
      </w:tr>
      <w:tr>
        <w:tc>
          <w:tcPr>
            <w:tcW w:type="dxa" w:w="4464"/>
            <w:tcMar>
              <w:top w:w="60" w:type="dxa"/>
              <w:bottom w:w="60" w:type="dxa"/>
              <w:left w:w="80" w:type="dxa"/>
              <w:right w:w="80" w:type="dxa"/>
            </w:tcMar>
          </w:tcPr>
          <w:p>
            <w:r>
              <w:rPr>
                <w:rFonts w:ascii="Calibri" w:hAnsi="Calibri"/>
                <w:b/>
                <w:color w:val="475569"/>
                <w:sz w:val="21"/>
              </w:rPr>
              <w:t>Mühəndis Komandası:</w:t>
            </w:r>
          </w:p>
        </w:tc>
        <w:tc>
          <w:tcPr>
            <w:tcW w:type="dxa" w:w="4608"/>
            <w:tcMar>
              <w:top w:w="60" w:type="dxa"/>
              <w:bottom w:w="60" w:type="dxa"/>
              <w:left w:w="80" w:type="dxa"/>
              <w:right w:w="80" w:type="dxa"/>
            </w:tcMar>
          </w:tcPr>
          <w:p>
            <w:r>
              <w:rPr>
                <w:rFonts w:ascii="Calibri" w:hAnsi="Calibri"/>
                <w:color w:val="0F172A"/>
                <w:sz w:val="21"/>
              </w:rPr>
              <w:t>Nigar Əliyeva (Crypto), Rəşad Məmmədov (DevOps),</w:t>
              <w:br/>
              <w:t>Elmir Qasımov (Backend), Aysel Kərimova (Frontend),</w:t>
              <w:br/>
              <w:t>Tural Səfərov (QA / Benchmark Lead)</w:t>
            </w:r>
          </w:p>
        </w:tc>
      </w:tr>
      <w:tr>
        <w:tc>
          <w:tcPr>
            <w:tcW w:type="dxa" w:w="4464"/>
            <w:tcMar>
              <w:top w:w="60" w:type="dxa"/>
              <w:bottom w:w="60" w:type="dxa"/>
              <w:left w:w="80" w:type="dxa"/>
              <w:right w:w="80" w:type="dxa"/>
            </w:tcMar>
          </w:tcPr>
          <w:p>
            <w:r>
              <w:rPr>
                <w:rFonts w:ascii="Calibri" w:hAnsi="Calibri"/>
                <w:b/>
                <w:color w:val="475569"/>
                <w:sz w:val="21"/>
              </w:rPr>
              <w:t>Təhvil Tarixi və Məkan:</w:t>
            </w:r>
          </w:p>
        </w:tc>
        <w:tc>
          <w:tcPr>
            <w:tcW w:type="dxa" w:w="4608"/>
            <w:tcMar>
              <w:top w:w="60" w:type="dxa"/>
              <w:bottom w:w="60" w:type="dxa"/>
              <w:left w:w="80" w:type="dxa"/>
              <w:right w:w="80" w:type="dxa"/>
            </w:tcMar>
          </w:tcPr>
          <w:p>
            <w:r>
              <w:rPr>
                <w:rFonts w:ascii="Calibri" w:hAnsi="Calibri"/>
                <w:color w:val="0F172A"/>
                <w:sz w:val="21"/>
              </w:rPr>
              <w:t>Oktyabr 2026, Bakı şəhəri, Azərbaycan</w:t>
            </w:r>
          </w:p>
        </w:tc>
      </w:tr>
    </w:tbl>
    <w:p>
      <w:r>
        <w:br w:type="page"/>
      </w:r>
    </w:p>
    <w:p>
      <w:pPr>
        <w:spacing w:before="200" w:after="300"/>
      </w:pPr>
      <w:r>
        <w:rPr>
          <w:rFonts w:ascii="Calibri" w:hAnsi="Calibri"/>
          <w:b/>
          <w:color w:val="0F172A"/>
          <w:sz w:val="32"/>
        </w:rPr>
        <w:t>MÜNDƏRİCAT</w:t>
      </w:r>
    </w:p>
    <w:tbl>
      <w:tblPr>
        <w:tblW w:type="auto" w:w="0"/>
        <w:jc w:val="center"/>
        <w:tblLook w:firstColumn="1" w:firstRow="1" w:lastColumn="0" w:lastRow="0" w:noHBand="0" w:noVBand="1" w:val="04A0"/>
      </w:tblPr>
      <w:tblGrid>
        <w:gridCol w:w="4536"/>
        <w:gridCol w:w="4536"/>
      </w:tblGrid>
      <w:tr>
        <w:tc>
          <w:tcPr>
            <w:tcW w:type="dxa" w:w="8064"/>
            <w:tcMar>
              <w:top w:w="40" w:type="dxa"/>
              <w:bottom w:w="40" w:type="dxa"/>
              <w:left w:w="50" w:type="dxa"/>
              <w:right w:w="50" w:type="dxa"/>
            </w:tcMar>
          </w:tcPr>
          <w:p>
            <w:r>
              <w:rPr>
                <w:rFonts w:ascii="Calibri" w:hAnsi="Calibri"/>
                <w:b/>
                <w:sz w:val="20"/>
              </w:rPr>
              <w:t>1. Giriş: Layihənin Məqsədi və Fənlərarası Əlaqə</w:t>
            </w:r>
          </w:p>
        </w:tc>
        <w:tc>
          <w:tcPr>
            <w:tcW w:type="dxa" w:w="1008"/>
            <w:tcMar>
              <w:top w:w="40" w:type="dxa"/>
              <w:bottom w:w="40" w:type="dxa"/>
              <w:left w:w="50" w:type="dxa"/>
              <w:right w:w="50" w:type="dxa"/>
            </w:tcMar>
          </w:tcPr>
          <w:p>
            <w:pPr>
              <w:jc w:val="right"/>
            </w:pPr>
            <w:r>
              <w:rPr>
                <w:rFonts w:ascii="Calibri" w:hAnsi="Calibri"/>
                <w:sz w:val="20"/>
              </w:rPr>
              <w:t>3</w:t>
            </w:r>
          </w:p>
        </w:tc>
      </w:tr>
      <w:tr>
        <w:tc>
          <w:tcPr>
            <w:tcW w:type="dxa" w:w="8064"/>
            <w:tcMar>
              <w:top w:w="40" w:type="dxa"/>
              <w:bottom w:w="40" w:type="dxa"/>
              <w:left w:w="50" w:type="dxa"/>
              <w:right w:w="50" w:type="dxa"/>
            </w:tcMar>
          </w:tcPr>
          <w:p>
            <w:r>
              <w:rPr>
                <w:rFonts w:ascii="Calibri" w:hAnsi="Calibri"/>
                <w:sz w:val="20"/>
              </w:rPr>
              <w:t>2. Problem və Tədqiqat Konteksti: Ransomware Təhdidi</w:t>
            </w:r>
          </w:p>
        </w:tc>
        <w:tc>
          <w:tcPr>
            <w:tcW w:type="dxa" w:w="1008"/>
            <w:tcMar>
              <w:top w:w="40" w:type="dxa"/>
              <w:bottom w:w="40" w:type="dxa"/>
              <w:left w:w="50" w:type="dxa"/>
              <w:right w:w="50" w:type="dxa"/>
            </w:tcMar>
          </w:tcPr>
          <w:p>
            <w:pPr>
              <w:jc w:val="right"/>
            </w:pPr>
            <w:r>
              <w:rPr>
                <w:rFonts w:ascii="Calibri" w:hAnsi="Calibri"/>
                <w:sz w:val="20"/>
              </w:rPr>
              <w:t>4</w:t>
            </w:r>
          </w:p>
        </w:tc>
      </w:tr>
      <w:tr>
        <w:tc>
          <w:tcPr>
            <w:tcW w:type="dxa" w:w="8064"/>
            <w:tcMar>
              <w:top w:w="40" w:type="dxa"/>
              <w:bottom w:w="40" w:type="dxa"/>
              <w:left w:w="50" w:type="dxa"/>
              <w:right w:w="50" w:type="dxa"/>
            </w:tcMar>
          </w:tcPr>
          <w:p>
            <w:r>
              <w:rPr>
                <w:rFonts w:ascii="Calibri" w:hAnsi="Calibri"/>
                <w:sz w:val="20"/>
              </w:rPr>
              <w:t>3. Layihənin İcra Planı və 12 Həftəlik Mühəndislik Strukturu</w:t>
            </w:r>
          </w:p>
        </w:tc>
        <w:tc>
          <w:tcPr>
            <w:tcW w:type="dxa" w:w="1008"/>
            <w:tcMar>
              <w:top w:w="40" w:type="dxa"/>
              <w:bottom w:w="40" w:type="dxa"/>
              <w:left w:w="50" w:type="dxa"/>
              <w:right w:w="50" w:type="dxa"/>
            </w:tcMar>
          </w:tcPr>
          <w:p>
            <w:pPr>
              <w:jc w:val="right"/>
            </w:pPr>
            <w:r>
              <w:rPr>
                <w:rFonts w:ascii="Calibri" w:hAnsi="Calibri"/>
                <w:sz w:val="20"/>
              </w:rPr>
              <w:t>5</w:t>
            </w:r>
          </w:p>
        </w:tc>
      </w:tr>
      <w:tr>
        <w:tc>
          <w:tcPr>
            <w:tcW w:type="dxa" w:w="8064"/>
            <w:tcMar>
              <w:top w:w="40" w:type="dxa"/>
              <w:bottom w:w="40" w:type="dxa"/>
              <w:left w:w="50" w:type="dxa"/>
              <w:right w:w="50" w:type="dxa"/>
            </w:tcMar>
          </w:tcPr>
          <w:p>
            <w:r>
              <w:rPr>
                <w:rFonts w:ascii="Calibri" w:hAnsi="Calibri"/>
                <w:b/>
                <w:sz w:val="20"/>
              </w:rPr>
              <w:t>4. Ümumi Sistem Arxitekturu və 6 Mərhələli Müdafiə Konveyeri</w:t>
            </w:r>
          </w:p>
        </w:tc>
        <w:tc>
          <w:tcPr>
            <w:tcW w:type="dxa" w:w="1008"/>
            <w:tcMar>
              <w:top w:w="40" w:type="dxa"/>
              <w:bottom w:w="40" w:type="dxa"/>
              <w:left w:w="50" w:type="dxa"/>
              <w:right w:w="50" w:type="dxa"/>
            </w:tcMar>
          </w:tcPr>
          <w:p>
            <w:pPr>
              <w:jc w:val="right"/>
            </w:pPr>
            <w:r>
              <w:rPr>
                <w:rFonts w:ascii="Calibri" w:hAnsi="Calibri"/>
                <w:sz w:val="20"/>
              </w:rPr>
              <w:t>7</w:t>
            </w:r>
          </w:p>
        </w:tc>
      </w:tr>
      <w:tr>
        <w:tc>
          <w:tcPr>
            <w:tcW w:type="dxa" w:w="8064"/>
            <w:tcMar>
              <w:top w:w="40" w:type="dxa"/>
              <w:bottom w:w="40" w:type="dxa"/>
              <w:left w:w="50" w:type="dxa"/>
              <w:right w:w="50" w:type="dxa"/>
            </w:tcMar>
          </w:tcPr>
          <w:p>
            <w:r>
              <w:rPr>
                <w:rFonts w:ascii="Calibri" w:hAnsi="Calibri"/>
                <w:sz w:val="20"/>
              </w:rPr>
              <w:t>5. Bulud Təhlükəsizliyi: Birgə Məsuliyyət, IAM Freeze və Saxlanc Təcridi</w:t>
            </w:r>
          </w:p>
        </w:tc>
        <w:tc>
          <w:tcPr>
            <w:tcW w:type="dxa" w:w="1008"/>
            <w:tcMar>
              <w:top w:w="40" w:type="dxa"/>
              <w:bottom w:w="40" w:type="dxa"/>
              <w:left w:w="50" w:type="dxa"/>
              <w:right w:w="50" w:type="dxa"/>
            </w:tcMar>
          </w:tcPr>
          <w:p>
            <w:pPr>
              <w:jc w:val="right"/>
            </w:pPr>
            <w:r>
              <w:rPr>
                <w:rFonts w:ascii="Calibri" w:hAnsi="Calibri"/>
                <w:sz w:val="20"/>
              </w:rPr>
              <w:t>9</w:t>
            </w:r>
          </w:p>
        </w:tc>
      </w:tr>
      <w:tr>
        <w:tc>
          <w:tcPr>
            <w:tcW w:type="dxa" w:w="8064"/>
            <w:tcMar>
              <w:top w:w="40" w:type="dxa"/>
              <w:bottom w:w="40" w:type="dxa"/>
              <w:left w:w="50" w:type="dxa"/>
              <w:right w:w="50" w:type="dxa"/>
            </w:tcMar>
          </w:tcPr>
          <w:p>
            <w:r>
              <w:rPr>
                <w:rFonts w:ascii="Calibri" w:hAnsi="Calibri"/>
                <w:sz w:val="20"/>
              </w:rPr>
              <w:t>6. Kriptoqrafiya Mexanizmləri: Merkle DAG, AES-256-GCM və Ed25519</w:t>
            </w:r>
          </w:p>
        </w:tc>
        <w:tc>
          <w:tcPr>
            <w:tcW w:type="dxa" w:w="1008"/>
            <w:tcMar>
              <w:top w:w="40" w:type="dxa"/>
              <w:bottom w:w="40" w:type="dxa"/>
              <w:left w:w="50" w:type="dxa"/>
              <w:right w:w="50" w:type="dxa"/>
            </w:tcMar>
          </w:tcPr>
          <w:p>
            <w:pPr>
              <w:jc w:val="right"/>
            </w:pPr>
            <w:r>
              <w:rPr>
                <w:rFonts w:ascii="Calibri" w:hAnsi="Calibri"/>
                <w:sz w:val="20"/>
              </w:rPr>
              <w:t>12</w:t>
            </w:r>
          </w:p>
        </w:tc>
      </w:tr>
      <w:tr>
        <w:tc>
          <w:tcPr>
            <w:tcW w:type="dxa" w:w="8064"/>
            <w:tcMar>
              <w:top w:w="40" w:type="dxa"/>
              <w:bottom w:w="40" w:type="dxa"/>
              <w:left w:w="50" w:type="dxa"/>
              <w:right w:w="50" w:type="dxa"/>
            </w:tcMar>
          </w:tcPr>
          <w:p>
            <w:r>
              <w:rPr>
                <w:rFonts w:ascii="Calibri" w:hAnsi="Calibri"/>
                <w:sz w:val="20"/>
              </w:rPr>
              <w:t>7. Backend Mühərriki, Sürüşən Zaman Pəncərəsi və Canary Tələləri</w:t>
            </w:r>
          </w:p>
        </w:tc>
        <w:tc>
          <w:tcPr>
            <w:tcW w:type="dxa" w:w="1008"/>
            <w:tcMar>
              <w:top w:w="40" w:type="dxa"/>
              <w:bottom w:w="40" w:type="dxa"/>
              <w:left w:w="50" w:type="dxa"/>
              <w:right w:w="50" w:type="dxa"/>
            </w:tcMar>
          </w:tcPr>
          <w:p>
            <w:pPr>
              <w:jc w:val="right"/>
            </w:pPr>
            <w:r>
              <w:rPr>
                <w:rFonts w:ascii="Calibri" w:hAnsi="Calibri"/>
                <w:sz w:val="20"/>
              </w:rPr>
              <w:t>17</w:t>
            </w:r>
          </w:p>
        </w:tc>
      </w:tr>
      <w:tr>
        <w:tc>
          <w:tcPr>
            <w:tcW w:type="dxa" w:w="8064"/>
            <w:tcMar>
              <w:top w:w="40" w:type="dxa"/>
              <w:bottom w:w="40" w:type="dxa"/>
              <w:left w:w="50" w:type="dxa"/>
              <w:right w:w="50" w:type="dxa"/>
            </w:tcMar>
          </w:tcPr>
          <w:p>
            <w:r>
              <w:rPr>
                <w:rFonts w:ascii="Calibri" w:hAnsi="Calibri"/>
                <w:b/>
                <w:sz w:val="20"/>
              </w:rPr>
              <w:t>8. İnformasiya Təhlükəsizliyi Menecment Sistemi (İSMS) və Uyğunluq</w:t>
            </w:r>
          </w:p>
        </w:tc>
        <w:tc>
          <w:tcPr>
            <w:tcW w:type="dxa" w:w="1008"/>
            <w:tcMar>
              <w:top w:w="40" w:type="dxa"/>
              <w:bottom w:w="40" w:type="dxa"/>
              <w:left w:w="50" w:type="dxa"/>
              <w:right w:w="50" w:type="dxa"/>
            </w:tcMar>
          </w:tcPr>
          <w:p>
            <w:pPr>
              <w:jc w:val="right"/>
            </w:pPr>
            <w:r>
              <w:rPr>
                <w:rFonts w:ascii="Calibri" w:hAnsi="Calibri"/>
                <w:sz w:val="20"/>
              </w:rPr>
              <w:t>20</w:t>
            </w:r>
          </w:p>
        </w:tc>
      </w:tr>
      <w:tr>
        <w:tc>
          <w:tcPr>
            <w:tcW w:type="dxa" w:w="8064"/>
            <w:tcMar>
              <w:top w:w="40" w:type="dxa"/>
              <w:bottom w:w="40" w:type="dxa"/>
              <w:left w:w="50" w:type="dxa"/>
              <w:right w:w="50" w:type="dxa"/>
            </w:tcMar>
          </w:tcPr>
          <w:p>
            <w:r>
              <w:rPr>
                <w:rFonts w:ascii="Calibri" w:hAnsi="Calibri"/>
                <w:sz w:val="20"/>
              </w:rPr>
              <w:t>9. Nəzarət Paneli (SOC Dashboard) və Canlı Simulyasiya Ssenarisi</w:t>
            </w:r>
          </w:p>
        </w:tc>
        <w:tc>
          <w:tcPr>
            <w:tcW w:type="dxa" w:w="1008"/>
            <w:tcMar>
              <w:top w:w="40" w:type="dxa"/>
              <w:bottom w:w="40" w:type="dxa"/>
              <w:left w:w="50" w:type="dxa"/>
              <w:right w:w="50" w:type="dxa"/>
            </w:tcMar>
          </w:tcPr>
          <w:p>
            <w:pPr>
              <w:jc w:val="right"/>
            </w:pPr>
            <w:r>
              <w:rPr>
                <w:rFonts w:ascii="Calibri" w:hAnsi="Calibri"/>
                <w:sz w:val="20"/>
              </w:rPr>
              <w:t>24</w:t>
            </w:r>
          </w:p>
        </w:tc>
      </w:tr>
      <w:tr>
        <w:tc>
          <w:tcPr>
            <w:tcW w:type="dxa" w:w="8064"/>
            <w:tcMar>
              <w:top w:w="40" w:type="dxa"/>
              <w:bottom w:w="40" w:type="dxa"/>
              <w:left w:w="50" w:type="dxa"/>
              <w:right w:w="50" w:type="dxa"/>
            </w:tcMar>
          </w:tcPr>
          <w:p>
            <w:r>
              <w:rPr>
                <w:rFonts w:ascii="Calibri" w:hAnsi="Calibri"/>
                <w:b/>
                <w:sz w:val="20"/>
              </w:rPr>
              <w:t>10. Eksperimental Qiymətləndirmə, M1–M9 Metrikləri və Hədd Süpürməsi</w:t>
            </w:r>
          </w:p>
        </w:tc>
        <w:tc>
          <w:tcPr>
            <w:tcW w:type="dxa" w:w="1008"/>
            <w:tcMar>
              <w:top w:w="40" w:type="dxa"/>
              <w:bottom w:w="40" w:type="dxa"/>
              <w:left w:w="50" w:type="dxa"/>
              <w:right w:w="50" w:type="dxa"/>
            </w:tcMar>
          </w:tcPr>
          <w:p>
            <w:pPr>
              <w:jc w:val="right"/>
            </w:pPr>
            <w:r>
              <w:rPr>
                <w:rFonts w:ascii="Calibri" w:hAnsi="Calibri"/>
                <w:sz w:val="20"/>
              </w:rPr>
              <w:t>27</w:t>
            </w:r>
          </w:p>
        </w:tc>
      </w:tr>
      <w:tr>
        <w:tc>
          <w:tcPr>
            <w:tcW w:type="dxa" w:w="8064"/>
            <w:tcMar>
              <w:top w:w="40" w:type="dxa"/>
              <w:bottom w:w="40" w:type="dxa"/>
              <w:left w:w="50" w:type="dxa"/>
              <w:right w:w="50" w:type="dxa"/>
            </w:tcMar>
          </w:tcPr>
          <w:p>
            <w:r>
              <w:rPr>
                <w:rFonts w:ascii="Calibri" w:hAnsi="Calibri"/>
                <w:sz w:val="20"/>
              </w:rPr>
              <w:t>11. Layihənin İdarə Edilməsi: Linear Lövhəsi, Rollar və CI/CD</w:t>
            </w:r>
          </w:p>
        </w:tc>
        <w:tc>
          <w:tcPr>
            <w:tcW w:type="dxa" w:w="1008"/>
            <w:tcMar>
              <w:top w:w="40" w:type="dxa"/>
              <w:bottom w:w="40" w:type="dxa"/>
              <w:left w:w="50" w:type="dxa"/>
              <w:right w:w="50" w:type="dxa"/>
            </w:tcMar>
          </w:tcPr>
          <w:p>
            <w:pPr>
              <w:jc w:val="right"/>
            </w:pPr>
            <w:r>
              <w:rPr>
                <w:rFonts w:ascii="Calibri" w:hAnsi="Calibri"/>
                <w:sz w:val="20"/>
              </w:rPr>
              <w:t>31</w:t>
            </w:r>
          </w:p>
        </w:tc>
      </w:tr>
      <w:tr>
        <w:tc>
          <w:tcPr>
            <w:tcW w:type="dxa" w:w="8064"/>
            <w:tcMar>
              <w:top w:w="40" w:type="dxa"/>
              <w:bottom w:w="40" w:type="dxa"/>
              <w:left w:w="50" w:type="dxa"/>
              <w:right w:w="50" w:type="dxa"/>
            </w:tcMar>
          </w:tcPr>
          <w:p>
            <w:r>
              <w:rPr>
                <w:rFonts w:ascii="Calibri" w:hAnsi="Calibri"/>
                <w:sz w:val="20"/>
              </w:rPr>
              <w:t>12. Üç Fənnin Sintezi: Yekun Akademik İzah</w:t>
            </w:r>
          </w:p>
        </w:tc>
        <w:tc>
          <w:tcPr>
            <w:tcW w:type="dxa" w:w="1008"/>
            <w:tcMar>
              <w:top w:w="40" w:type="dxa"/>
              <w:bottom w:w="40" w:type="dxa"/>
              <w:left w:w="50" w:type="dxa"/>
              <w:right w:w="50" w:type="dxa"/>
            </w:tcMar>
          </w:tcPr>
          <w:p>
            <w:pPr>
              <w:jc w:val="right"/>
            </w:pPr>
            <w:r>
              <w:rPr>
                <w:rFonts w:ascii="Calibri" w:hAnsi="Calibri"/>
                <w:sz w:val="20"/>
              </w:rPr>
              <w:t>33</w:t>
            </w:r>
          </w:p>
        </w:tc>
      </w:tr>
      <w:tr>
        <w:tc>
          <w:tcPr>
            <w:tcW w:type="dxa" w:w="8064"/>
            <w:tcMar>
              <w:top w:w="40" w:type="dxa"/>
              <w:bottom w:w="40" w:type="dxa"/>
              <w:left w:w="50" w:type="dxa"/>
              <w:right w:w="50" w:type="dxa"/>
            </w:tcMar>
          </w:tcPr>
          <w:p>
            <w:r>
              <w:rPr>
                <w:rFonts w:ascii="Calibri" w:hAnsi="Calibri"/>
                <w:sz w:val="20"/>
              </w:rPr>
              <w:t>13. Texniki Məhdudiyyətlər və Gələcək İnkişaf Perspektivləri</w:t>
            </w:r>
          </w:p>
        </w:tc>
        <w:tc>
          <w:tcPr>
            <w:tcW w:type="dxa" w:w="1008"/>
            <w:tcMar>
              <w:top w:w="40" w:type="dxa"/>
              <w:bottom w:w="40" w:type="dxa"/>
              <w:left w:w="50" w:type="dxa"/>
              <w:right w:w="50" w:type="dxa"/>
            </w:tcMar>
          </w:tcPr>
          <w:p>
            <w:pPr>
              <w:jc w:val="right"/>
            </w:pPr>
            <w:r>
              <w:rPr>
                <w:rFonts w:ascii="Calibri" w:hAnsi="Calibri"/>
                <w:sz w:val="20"/>
              </w:rPr>
              <w:t>34</w:t>
            </w:r>
          </w:p>
        </w:tc>
      </w:tr>
      <w:tr>
        <w:tc>
          <w:tcPr>
            <w:tcW w:type="dxa" w:w="8064"/>
            <w:tcMar>
              <w:top w:w="40" w:type="dxa"/>
              <w:bottom w:w="40" w:type="dxa"/>
              <w:left w:w="50" w:type="dxa"/>
              <w:right w:w="50" w:type="dxa"/>
            </w:tcMar>
          </w:tcPr>
          <w:p>
            <w:r>
              <w:rPr>
                <w:rFonts w:ascii="Calibri" w:hAnsi="Calibri"/>
                <w:sz w:val="20"/>
              </w:rPr>
              <w:t>14. İstifadə Edilmiş Ədəbiyyat və Beynəlxalq Standartlar</w:t>
            </w:r>
          </w:p>
        </w:tc>
        <w:tc>
          <w:tcPr>
            <w:tcW w:type="dxa" w:w="1008"/>
            <w:tcMar>
              <w:top w:w="40" w:type="dxa"/>
              <w:bottom w:w="40" w:type="dxa"/>
              <w:left w:w="50" w:type="dxa"/>
              <w:right w:w="50" w:type="dxa"/>
            </w:tcMar>
          </w:tcPr>
          <w:p>
            <w:pPr>
              <w:jc w:val="right"/>
            </w:pPr>
            <w:r>
              <w:rPr>
                <w:rFonts w:ascii="Calibri" w:hAnsi="Calibri"/>
                <w:sz w:val="20"/>
              </w:rPr>
              <w:t>35</w:t>
            </w:r>
          </w:p>
        </w:tc>
      </w:tr>
      <w:tr>
        <w:tc>
          <w:tcPr>
            <w:tcW w:type="dxa" w:w="8064"/>
            <w:tcMar>
              <w:top w:w="40" w:type="dxa"/>
              <w:bottom w:w="40" w:type="dxa"/>
              <w:left w:w="50" w:type="dxa"/>
              <w:right w:w="50" w:type="dxa"/>
            </w:tcMar>
          </w:tcPr>
          <w:p>
            <w:r>
              <w:rPr>
                <w:rFonts w:ascii="Calibri" w:hAnsi="Calibri"/>
                <w:sz w:val="20"/>
              </w:rPr>
              <w:t>Əlavə A: Sübut Jurnalı (Evidence Log) və Əlavə Olunası Bəndlər</w:t>
            </w:r>
          </w:p>
        </w:tc>
        <w:tc>
          <w:tcPr>
            <w:tcW w:type="dxa" w:w="1008"/>
            <w:tcMar>
              <w:top w:w="40" w:type="dxa"/>
              <w:bottom w:w="40" w:type="dxa"/>
              <w:left w:w="50" w:type="dxa"/>
              <w:right w:w="50" w:type="dxa"/>
            </w:tcMar>
          </w:tcPr>
          <w:p>
            <w:pPr>
              <w:jc w:val="right"/>
            </w:pPr>
            <w:r>
              <w:rPr>
                <w:rFonts w:ascii="Calibri" w:hAnsi="Calibri"/>
                <w:sz w:val="20"/>
              </w:rPr>
              <w:t>36</w:t>
            </w:r>
          </w:p>
        </w:tc>
      </w:tr>
    </w:tbl>
    <w:p>
      <w:r>
        <w:br w:type="page"/>
      </w:r>
    </w:p>
    <w:p>
      <w:pPr>
        <w:keepNext/>
        <w:spacing w:before="400" w:after="120"/>
      </w:pPr>
      <w:r>
        <w:rPr>
          <w:rFonts w:ascii="Calibri" w:hAnsi="Calibri"/>
          <w:b/>
          <w:color w:val="0F172A"/>
          <w:sz w:val="32"/>
        </w:rPr>
        <w:t>1. Giriş: Layihənin Məqsədi və Fənlərarası Əlaqə</w:t>
      </w:r>
    </w:p>
    <w:p>
      <w:pPr>
        <w:spacing w:line="276" w:lineRule="auto" w:after="100"/>
      </w:pPr>
      <w:r>
        <w:rPr>
          <w:rFonts w:ascii="Calibri" w:hAnsi="Calibri"/>
          <w:color w:val="1E293B"/>
          <w:sz w:val="22"/>
        </w:rPr>
        <w:t>Müasir korporativ informasiya sistemlərinin kütləvi şəkildə bulud infrastrukturuna (Cloud IaaS/PaaS) miqrasiya etməsi məlumatların əlçatanlığını artırmaqla yanaşı, yeni nəsil kiberhücum vektorlarının yaranmasına səbəb olmuşdur. Bu təhlükələr arasında ən dağıdıcı xarakter daşıyanı ransomware (fidyə proqramı) hücumlarıdır. Ənənəvi antivirus və perimetr müdafiə vasitələri bulud saxlancında (məsələn, AWS S3 və ya Supabase Storage) icra olunan kütləvi şifrələmə əməliyyatlarını vaxtında aşkarlamaqda aciz qalır. Bu diplom və tədqiqat layihəsinin əsas məqsədi — bulud saxlancını fasiləsiz izləyən, kütləvi icazəsiz dəyişiklikləri saniyələr daxilində aşkarlayan, hücum edənin hesabını dərhal donduran və ən əsası, şifrələnmiş ehtiyat nüsxələrdən hər bir faylın tamlığını riyazi olaraq sübut etməklə 100% bərpasını təmin edən avtomatlaşdırılmış CloudRDR platformasını qurmaqdır.</w:t>
      </w:r>
    </w:p>
    <w:p>
      <w:pPr>
        <w:spacing w:line="276" w:lineRule="auto" w:after="100"/>
      </w:pPr>
      <w:r>
        <w:rPr>
          <w:rFonts w:ascii="Calibri" w:hAnsi="Calibri"/>
          <w:color w:val="1E293B"/>
          <w:sz w:val="22"/>
        </w:rPr>
        <w:t>Layihə universitet tədris planında yer alan üç fundamental informasiya təhlükəsizliyi fənnini vahid praktik tətbiqdə birləşdirir:</w:t>
        <w:br/>
        <w:t>1. Kriptoqrafiyanın Əsasları: Faylların tamlığını qorumaq üçün SHA-256 heş funksiyaları, Merkle ağacı strukturu, ehtiyat nüsxələrin təhlükəsizliyi üçün AES-256-GCM AEAD authenticated encryption və insident qeydlərinin inkarolunmazlığı üçün RFC 8032 Ed25519 rəqəmsal imzaları tətbiq olunmuşdur.</w:t>
        <w:br/>
        <w:t>2. Bulud Təhlükəsizliyi: Supabase (Postgres və Storage) mühitində ən az səlahiyyət prinsipi (Least Privilege), Row Level Security (RLS) vasitəsilə sıfır-etibar (Zero-Trust) arxitekturası və hücum zamanı avtomatlaşdırılmış IAM Write-Freeze siyasəti reallaşdırılmışdır.</w:t>
        <w:br/>
        <w:t>3. İnformasiya Təhlükəsizliyi Menecment Sistemləri (İSMS): ISO/IEC 27001:2022 standartı, NIST CSF 2.0 və NIST SP 800-61 reqlamentləri əsasında aktivlərin təsnifatı, STRIDE təhdid modelləşdirməsi, risk reyestri, insident cavab planı və məhkəmə sübutlarının qorunması siyasəti (Chain of Custody) tam sənədləşdirilmişdir.</w:t>
      </w:r>
    </w:p>
    <w:tbl>
      <w:tblPr>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line="276" w:lineRule="auto" w:after="40"/>
            </w:pPr>
            <w:r>
              <w:rPr>
                <w:rFonts w:ascii="Calibri" w:hAnsi="Calibri"/>
                <w:b/>
                <w:color w:val="0E7490"/>
                <w:sz w:val="21"/>
              </w:rPr>
              <w:t>Qısa: nə etdim</w:t>
              <w:br/>
            </w:r>
            <w:r>
              <w:rPr>
                <w:b/>
              </w:rPr>
              <w:t xml:space="preserve">Məqsəd: </w:t>
            </w:r>
            <w:r>
              <w:t>Bulud anbarlarını ransomware təhlükəsindən qorumaq üçün kriptoqrafik, bulud və idarəetmə mexanizmlərini vahid sistemdə birləşdirmək.</w:t>
              <w:br/>
            </w:r>
            <w:r>
              <w:rPr>
                <w:b/>
              </w:rPr>
              <w:t xml:space="preserve">Necə etdim: </w:t>
            </w:r>
            <w:r>
              <w:t>Node.js, Fastify, Supabase və kriptoqrafik alqoritmlər vasitəsilə 6 mərhələli müdafiə konveyerini qurdum və test etdim.</w:t>
            </w:r>
          </w:p>
        </w:tc>
      </w:tr>
    </w:tbl>
    <w:p>
      <w:pPr>
        <w:spacing w:after="60"/>
      </w:pPr>
    </w:p>
    <w:p>
      <w:pPr>
        <w:keepNext/>
        <w:spacing w:before="400" w:after="120"/>
      </w:pPr>
      <w:r>
        <w:rPr>
          <w:rFonts w:ascii="Calibri" w:hAnsi="Calibri"/>
          <w:b/>
          <w:color w:val="0F172A"/>
          <w:sz w:val="32"/>
        </w:rPr>
        <w:t>2. Problem və Tədqiqat Konteksti: Ransomware Təhdidi</w:t>
      </w:r>
    </w:p>
    <w:p>
      <w:pPr>
        <w:spacing w:line="276" w:lineRule="auto" w:after="100"/>
      </w:pPr>
      <w:r>
        <w:rPr>
          <w:rFonts w:ascii="Calibri" w:hAnsi="Calibri"/>
          <w:color w:val="1E293B"/>
          <w:sz w:val="22"/>
        </w:rPr>
        <w:t>Ransomware — istifadəçinin və ya təşkilatın kritik fayllarını gizli şəkildə şifrələyərək əlçatmaz edən və açarı təqdim etmək müqabilində fidyə tələb edən zərərli proqram təminatıdır. Nümunə: Ransomware hücumunu ofis arxivinə gizlicə daxil olub bütün sənədləri tanınmaz qıfıllarla bağlayan və açarları yalnız pul qarşılığında verəcəyini deyən quldura bənzətmək olar.</w:t>
      </w:r>
    </w:p>
    <w:p>
      <w:pPr>
        <w:spacing w:line="276" w:lineRule="auto" w:after="100"/>
      </w:pPr>
      <w:r>
        <w:rPr>
          <w:rFonts w:ascii="Calibri" w:hAnsi="Calibri"/>
          <w:color w:val="1E293B"/>
          <w:sz w:val="22"/>
        </w:rPr>
        <w:t>Ənənəvi sistemlərdə ehtiyat nüsxələrin (backup) mövcudluğu ransomware-ə qarşı yeganə xilasedici vasitə hesab olunurdu. Lakin müasir hücumlar göstərir ki, təcavüzkarlar ilk növbədə sistemdəki ehtiyat nüsxələri taparaq silir və ya onları da şifrələyir. Bundan əlavə, adi bərpa prosesi zamanı bərpa olunan faylın hücumdan əvvəlki orijinal faylla bit-bərabər eyni olduğunu sübut edən heç bir kriptoqrafik mexanizm mövcud deyildir. Təcavüzkar ehtiyat nüsxənin daxilinə 1 bayt belə dəyişiklik etsə (məsələn, zərərli arxa qapı — backdoor yerləşdirsə), ənənəvi bərpa proqramı bunu hiss etmədən faylı canlı bazaya yazır.</w:t>
      </w:r>
    </w:p>
    <w:p>
      <w:pPr>
        <w:spacing w:line="276" w:lineRule="auto" w:after="100"/>
      </w:pPr>
      <w:r>
        <w:rPr>
          <w:rFonts w:ascii="Calibri" w:hAnsi="Calibri"/>
          <w:color w:val="1E293B"/>
          <w:sz w:val="22"/>
        </w:rPr>
        <w:t>CloudRDR layihəsi bu problemi 3 əsas prinsip əsasında həll edir:</w:t>
        <w:br/>
        <w:t>1. Tez Aşkarlama: 60 saniyəlik sürüşən zaman pəncərəsində dəyişikliklərin sürətini ölçür və tələ (canary) fayllarını izləyir.</w:t>
        <w:br/>
        <w:t>2. Dərhal Təcrid: Hədd aşılarsa, insident dərhal RFC 8032 Ed25519 ilə imzalanır və təcavüzkarın hesabı IAM səviyyəsində dondurulur.</w:t>
        <w:br/>
        <w:t>3. Təsdiqlənmiş Bərpa: Ehtiyat nüsxələr AES-256-GCM AEAD ilə şifrələnir, bərpa zamanı hər bir fayl yenidən heşlənir və yalnız ilkin Merkle kökü ilə 100% üst-üstə düşən fayllar geri qaytarılır.</w:t>
      </w:r>
    </w:p>
    <w:p>
      <w:pPr>
        <w:keepNext/>
        <w:spacing w:before="400" w:after="120"/>
      </w:pPr>
      <w:r>
        <w:rPr>
          <w:rFonts w:ascii="Calibri" w:hAnsi="Calibri"/>
          <w:b/>
          <w:color w:val="0F172A"/>
          <w:sz w:val="32"/>
        </w:rPr>
        <w:t>3. Layihənin İcra Planı və 12 Həftəlik Mühəndislik Strukturu</w:t>
      </w:r>
    </w:p>
    <w:p>
      <w:pPr>
        <w:spacing w:line="276" w:lineRule="auto" w:after="100"/>
      </w:pPr>
      <w:r>
        <w:rPr>
          <w:rFonts w:ascii="Calibri" w:hAnsi="Calibri"/>
          <w:color w:val="1E293B"/>
          <w:sz w:val="22"/>
        </w:rPr>
        <w:t>Layihənin uğurla tamamlanması üçün 12 həftəlik çevik (Agile/Scrum) mühəndislik planı tərtib edilmiş və işlər 6 əsas mərhələyə bölünmüşdür. Bütün fəaliyyət Linear layihə idarəetmə platformasında rollar və həftələr üzrə qeydiyyata alınmışdır.</w:t>
      </w:r>
    </w:p>
    <w:p>
      <w:pPr>
        <w:spacing w:line="276" w:lineRule="auto" w:after="100"/>
      </w:pPr>
      <w:r>
        <w:rPr>
          <w:rFonts w:ascii="Calibri" w:hAnsi="Calibri"/>
          <w:b/>
          <w:color w:val="0F172A"/>
          <w:sz w:val="22"/>
        </w:rPr>
        <w:t xml:space="preserve">• </w:t>
      </w:r>
      <w:r>
        <w:rPr>
          <w:rFonts w:ascii="Calibri" w:hAnsi="Calibri"/>
          <w:color w:val="1E293B"/>
          <w:sz w:val="22"/>
        </w:rPr>
        <w:t>Tələblərin Dondurulması və GRC Çərçivəsi (Həftə 1–2): Təhlükəsizlik tələblərinin dondurulması, ISO 27001 / NIST CSF uyğunluq matrisinin qurulması, STRIDE təhdid analizi.</w:t>
      </w:r>
    </w:p>
    <w:p>
      <w:pPr>
        <w:spacing w:line="276" w:lineRule="auto" w:after="100"/>
      </w:pPr>
      <w:r>
        <w:rPr>
          <w:rFonts w:ascii="Calibri" w:hAnsi="Calibri"/>
          <w:b/>
          <w:color w:val="0F172A"/>
          <w:sz w:val="22"/>
        </w:rPr>
        <w:t xml:space="preserve">• </w:t>
      </w:r>
      <w:r>
        <w:rPr>
          <w:rFonts w:ascii="Calibri" w:hAnsi="Calibri"/>
          <w:color w:val="1E293B"/>
          <w:sz w:val="22"/>
        </w:rPr>
        <w:t>Kriptoqrafik Nüvə və Baseline Mühərriki (Həftə 3–4): SHA-256 axın heşlənməsi, Merkle DAG ağacının qurulması, AES-256-GCM AEAD şifrələmə kitabxanasının yazılması.</w:t>
      </w:r>
    </w:p>
    <w:p>
      <w:pPr>
        <w:spacing w:line="276" w:lineRule="auto" w:after="100"/>
      </w:pPr>
      <w:r>
        <w:rPr>
          <w:rFonts w:ascii="Calibri" w:hAnsi="Calibri"/>
          <w:b/>
          <w:color w:val="0F172A"/>
          <w:sz w:val="22"/>
        </w:rPr>
        <w:t xml:space="preserve">• </w:t>
      </w:r>
      <w:r>
        <w:rPr>
          <w:rFonts w:ascii="Calibri" w:hAnsi="Calibri"/>
          <w:color w:val="1E293B"/>
          <w:sz w:val="22"/>
        </w:rPr>
        <w:t>Bulud İnfrastrukturu və Saxlanc Adapterləri (Həftə 5–6): Supabase Storage və Postgres sxeminin qurulması, RLS siyasətləri, yerli LocalFsStorage adapteri və test mühiti.</w:t>
      </w:r>
    </w:p>
    <w:p>
      <w:pPr>
        <w:spacing w:line="276" w:lineRule="auto" w:after="100"/>
      </w:pPr>
      <w:r>
        <w:rPr>
          <w:rFonts w:ascii="Calibri" w:hAnsi="Calibri"/>
          <w:b/>
          <w:color w:val="0F172A"/>
          <w:sz w:val="22"/>
        </w:rPr>
        <w:t xml:space="preserve">• </w:t>
      </w:r>
      <w:r>
        <w:rPr>
          <w:rFonts w:ascii="Calibri" w:hAnsi="Calibri"/>
          <w:color w:val="1E293B"/>
          <w:sz w:val="22"/>
        </w:rPr>
        <w:t>Aşkarlama Mühərriki və IAM Freeze İnteqrasiyası (Həftə 7–8): Sliding-window dəyişiklik dərəcəsinin hesablanması, Canary tripwire tələləri, avtomatlaşdırılmış IAM dondurma siyasəti.</w:t>
      </w:r>
    </w:p>
    <w:p>
      <w:pPr>
        <w:spacing w:line="276" w:lineRule="auto" w:after="100"/>
      </w:pPr>
      <w:r>
        <w:rPr>
          <w:rFonts w:ascii="Calibri" w:hAnsi="Calibri"/>
          <w:b/>
          <w:color w:val="0F172A"/>
          <w:sz w:val="22"/>
        </w:rPr>
        <w:t xml:space="preserve">• </w:t>
      </w:r>
      <w:r>
        <w:rPr>
          <w:rFonts w:ascii="Calibri" w:hAnsi="Calibri"/>
          <w:color w:val="1E293B"/>
          <w:sz w:val="22"/>
        </w:rPr>
        <w:t>Zəncirvari Audit və Sıfır-Etibarlı Bərpa (Həftə 9–10): Hash-chained dəyişdirilməz audit jurnalı, təhlükəsiz karantin (quarantine) bərpa mexanizmi, 100% VALID heş yoxlaması.</w:t>
      </w:r>
    </w:p>
    <w:p>
      <w:pPr>
        <w:spacing w:line="276" w:lineRule="auto" w:after="100"/>
      </w:pPr>
      <w:r>
        <w:rPr>
          <w:rFonts w:ascii="Calibri" w:hAnsi="Calibri"/>
          <w:b/>
          <w:color w:val="0F172A"/>
          <w:sz w:val="22"/>
        </w:rPr>
        <w:t xml:space="preserve">• </w:t>
      </w:r>
      <w:r>
        <w:rPr>
          <w:rFonts w:ascii="Calibri" w:hAnsi="Calibri"/>
          <w:color w:val="1E293B"/>
          <w:sz w:val="22"/>
        </w:rPr>
        <w:t>Eksperimentlər, Benchmark Metrikləri və Yekun Sənədləşmə (Həftə 11–12): Hədd süpürmə (threshold sweep) eksperimentləri, M1–M9 performans ölçmələri, kod auditi və diplom hesabatının hazırlanması.</w:t>
      </w:r>
    </w:p>
    <w:p>
      <w:pPr>
        <w:keepNext/>
        <w:spacing w:before="160" w:after="40"/>
        <w:jc w:val="center"/>
      </w:pPr>
      <w:r>
        <w:drawing>
          <wp:inline xmlns:a="http://schemas.openxmlformats.org/drawingml/2006/main" xmlns:pic="http://schemas.openxmlformats.org/drawingml/2006/picture">
            <wp:extent cx="5303520" cy="5384402"/>
            <wp:docPr id="1" name="Picture 1"/>
            <wp:cNvGraphicFramePr>
              <a:graphicFrameLocks noChangeAspect="1"/>
            </wp:cNvGraphicFramePr>
            <a:graphic>
              <a:graphicData uri="http://schemas.openxmlformats.org/drawingml/2006/picture">
                <pic:pic>
                  <pic:nvPicPr>
                    <pic:cNvPr id="0" name="19_linear_board_overview.png"/>
                    <pic:cNvPicPr/>
                  </pic:nvPicPr>
                  <pic:blipFill>
                    <a:blip r:embed="rId10"/>
                    <a:stretch>
                      <a:fillRect/>
                    </a:stretch>
                  </pic:blipFill>
                  <pic:spPr>
                    <a:xfrm>
                      <a:off x="0" y="0"/>
                      <a:ext cx="5303520" cy="5384402"/>
                    </a:xfrm>
                    <a:prstGeom prst="rect"/>
                  </pic:spPr>
                </pic:pic>
              </a:graphicData>
            </a:graphic>
          </wp:inline>
        </w:drawing>
      </w:r>
    </w:p>
    <w:p>
      <w:pPr>
        <w:spacing w:after="160"/>
        <w:jc w:val="center"/>
      </w:pPr>
      <w:r>
        <w:rPr>
          <w:rFonts w:ascii="Calibri" w:hAnsi="Calibri"/>
          <w:b/>
          <w:color w:val="334155"/>
          <w:sz w:val="19"/>
        </w:rPr>
        <w:t xml:space="preserve">Şəkil 1. Linear Layihə İdarəetmə Lövhəsi — </w:t>
      </w:r>
      <w:r>
        <w:rPr>
          <w:rFonts w:ascii="Calibri" w:hAnsi="Calibri"/>
          <w:i/>
          <w:color w:val="64748B"/>
          <w:sz w:val="19"/>
        </w:rPr>
        <w:t>12 həftəlik mühəndislik planının 6 rol (PM, Crypto, DevOps, Backend, Frontend, QA) üzrə sprint bölgüsünü göstərir.</w:t>
      </w:r>
    </w:p>
    <w:p>
      <w:pPr>
        <w:keepNext/>
        <w:spacing w:before="160" w:after="40"/>
        <w:jc w:val="center"/>
      </w:pPr>
      <w:r>
        <w:drawing>
          <wp:inline xmlns:a="http://schemas.openxmlformats.org/drawingml/2006/main" xmlns:pic="http://schemas.openxmlformats.org/drawingml/2006/picture">
            <wp:extent cx="5303520" cy="2981774"/>
            <wp:docPr id="2" name="Picture 2"/>
            <wp:cNvGraphicFramePr>
              <a:graphicFrameLocks noChangeAspect="1"/>
            </wp:cNvGraphicFramePr>
            <a:graphic>
              <a:graphicData uri="http://schemas.openxmlformats.org/drawingml/2006/picture">
                <pic:pic>
                  <pic:nvPicPr>
                    <pic:cNvPr id="0" name="20_linear_board_sprints.png"/>
                    <pic:cNvPicPr/>
                  </pic:nvPicPr>
                  <pic:blipFill>
                    <a:blip r:embed="rId11"/>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2. Linear Sprint və Tapşırıqlar İyerarxiyası — </w:t>
      </w:r>
      <w:r>
        <w:rPr>
          <w:rFonts w:ascii="Calibri" w:hAnsi="Calibri"/>
          <w:i/>
          <w:color w:val="64748B"/>
          <w:sz w:val="19"/>
        </w:rPr>
        <w:t>GRC siyasətlərindən kriptoqrafik bərpa moduluna qədər bütün alt-tapşırıqların icra statusunu əks etdirir.</w:t>
      </w:r>
    </w:p>
    <w:p>
      <w:pPr>
        <w:keepNext/>
        <w:spacing w:before="400" w:after="120"/>
      </w:pPr>
      <w:r>
        <w:rPr>
          <w:rFonts w:ascii="Calibri" w:hAnsi="Calibri"/>
          <w:b/>
          <w:color w:val="0F172A"/>
          <w:sz w:val="32"/>
        </w:rPr>
        <w:t>4. Ümumi Sistem Arxitekturu və 6 Mərhələli Müdafiə Konveyeri</w:t>
      </w:r>
    </w:p>
    <w:p>
      <w:pPr>
        <w:spacing w:line="276" w:lineRule="auto" w:after="100"/>
      </w:pPr>
      <w:r>
        <w:rPr>
          <w:rFonts w:ascii="Calibri" w:hAnsi="Calibri"/>
          <w:color w:val="1E293B"/>
          <w:sz w:val="22"/>
        </w:rPr>
        <w:t>CloudRDR arxitekturası tamamilə modulyar, zəif əlaqəli (loosely coupled) və sıfır-etibar (Zero-Trust) prinsipləri üzərində qurulmuşdur. Sistem hadisə-əsaslı (event-driven) işləyir və hər bir komponent yalnız özünə aid təhlükəsizlik sərhədini idarə edir.</w:t>
      </w:r>
    </w:p>
    <w:p>
      <w:pPr>
        <w:keepNext/>
        <w:spacing w:before="160" w:after="40"/>
        <w:jc w:val="center"/>
      </w:pPr>
      <w:r>
        <w:drawing>
          <wp:inline xmlns:a="http://schemas.openxmlformats.org/drawingml/2006/main" xmlns:pic="http://schemas.openxmlformats.org/drawingml/2006/picture">
            <wp:extent cx="5303520" cy="3167380"/>
            <wp:docPr id="3" name="Picture 3"/>
            <wp:cNvGraphicFramePr>
              <a:graphicFrameLocks noChangeAspect="1"/>
            </wp:cNvGraphicFramePr>
            <a:graphic>
              <a:graphicData uri="http://schemas.openxmlformats.org/drawingml/2006/picture">
                <pic:pic>
                  <pic:nvPicPr>
                    <pic:cNvPr id="0" name="22_knowledge_graph_ast_architecture.png"/>
                    <pic:cNvPicPr/>
                  </pic:nvPicPr>
                  <pic:blipFill>
                    <a:blip r:embed="rId12"/>
                    <a:stretch>
                      <a:fillRect/>
                    </a:stretch>
                  </pic:blipFill>
                  <pic:spPr>
                    <a:xfrm>
                      <a:off x="0" y="0"/>
                      <a:ext cx="5303520" cy="3167380"/>
                    </a:xfrm>
                    <a:prstGeom prst="rect"/>
                  </pic:spPr>
                </pic:pic>
              </a:graphicData>
            </a:graphic>
          </wp:inline>
        </w:drawing>
      </w:r>
    </w:p>
    <w:p>
      <w:pPr>
        <w:spacing w:after="160"/>
        <w:jc w:val="center"/>
      </w:pPr>
      <w:r>
        <w:rPr>
          <w:rFonts w:ascii="Calibri" w:hAnsi="Calibri"/>
          <w:b/>
          <w:color w:val="334155"/>
          <w:sz w:val="19"/>
        </w:rPr>
        <w:t xml:space="preserve">Şəkil 3. CloudRDR Abstrakt Sintaksis Ağacı (AST) Bilik Qrafı — </w:t>
      </w:r>
      <w:r>
        <w:rPr>
          <w:rFonts w:ascii="Calibri" w:hAnsi="Calibri"/>
          <w:i/>
          <w:color w:val="64748B"/>
          <w:sz w:val="19"/>
        </w:rPr>
        <w:t>Sistemin 102 mənbə faylı və kriptoqrafik, saxlanc və aşkarlama modulları arasındakı dərin asılılıq əlaqələrini göstərir.</w:t>
      </w:r>
    </w:p>
    <w:p>
      <w:pPr>
        <w:spacing w:line="276" w:lineRule="auto" w:after="100"/>
      </w:pPr>
      <w:r>
        <w:rPr>
          <w:rFonts w:ascii="Calibri" w:hAnsi="Calibri"/>
          <w:color w:val="1E293B"/>
          <w:sz w:val="22"/>
        </w:rPr>
        <w:t>Sistemin iş axını 6 ardıcıl və avtomatlaşdırılmış mərhələdən ibarətdir:</w:t>
      </w:r>
    </w:p>
    <w:p>
      <w:pPr>
        <w:spacing w:line="276" w:lineRule="auto" w:after="100"/>
      </w:pPr>
      <w:r>
        <w:rPr>
          <w:rFonts w:ascii="Calibri" w:hAnsi="Calibri"/>
          <w:b/>
          <w:color w:val="0F172A"/>
          <w:sz w:val="22"/>
        </w:rPr>
        <w:t xml:space="preserve">• </w:t>
      </w:r>
      <w:r>
        <w:rPr>
          <w:rFonts w:ascii="Calibri" w:hAnsi="Calibri"/>
          <w:color w:val="1E293B"/>
          <w:sz w:val="22"/>
        </w:rPr>
        <w:t>Mərhələ 1: Kriptoqrafik İlkin Vəziyyət (Baseline): Qorunan anbardakı bütün fayllar SHA-256 ilə heşlənir, binar Merkle ağacına yığılır və vahid Merkle Root yaradılır. Eyni zamanda hər bir fayl AES-256-GCM ilə şifrələnərək soyuq ehtiyat nüsxəyə göndərilir.</w:t>
      </w:r>
    </w:p>
    <w:p>
      <w:pPr>
        <w:spacing w:line="276" w:lineRule="auto" w:after="100"/>
      </w:pPr>
      <w:r>
        <w:rPr>
          <w:rFonts w:ascii="Calibri" w:hAnsi="Calibri"/>
          <w:b/>
          <w:color w:val="0F172A"/>
          <w:sz w:val="22"/>
        </w:rPr>
        <w:t xml:space="preserve">• </w:t>
      </w:r>
      <w:r>
        <w:rPr>
          <w:rFonts w:ascii="Calibri" w:hAnsi="Calibri"/>
          <w:color w:val="1E293B"/>
          <w:sz w:val="22"/>
        </w:rPr>
        <w:t>Mərhələ 2: Fasiləsiz Hadisə Monitorinqi (Monitor): Monitor Agent hər 10 saniyədən bir saxlancı yoxlayır, faylların yaradılması, dəyişdirilməsi və silinməsi hadisələrini qeydə alır və dəyişmiş faylların yeni heşlərini bazaya yazır.</w:t>
      </w:r>
    </w:p>
    <w:p>
      <w:pPr>
        <w:spacing w:line="276" w:lineRule="auto" w:after="100"/>
      </w:pPr>
      <w:r>
        <w:rPr>
          <w:rFonts w:ascii="Calibri" w:hAnsi="Calibri"/>
          <w:b/>
          <w:color w:val="0F172A"/>
          <w:sz w:val="22"/>
        </w:rPr>
        <w:t xml:space="preserve">• </w:t>
      </w:r>
      <w:r>
        <w:rPr>
          <w:rFonts w:ascii="Calibri" w:hAnsi="Calibri"/>
          <w:color w:val="1E293B"/>
          <w:sz w:val="22"/>
        </w:rPr>
        <w:t>Mərhələ 3: Aşkarlama Mühərriki (Detection Engine): 60 saniyəlik sürüşən zaman pəncərəsi daxilində dəyişiklik sürəti hesablanır. Əgər dəyişiklik 30%-dən çoxdursa və ya bircə dənə Canary tələ faylına toxunulubsa, dərhal RANSOMWARE hökmü çıxarılır.</w:t>
      </w:r>
    </w:p>
    <w:p>
      <w:pPr>
        <w:spacing w:line="276" w:lineRule="auto" w:after="100"/>
      </w:pPr>
      <w:r>
        <w:rPr>
          <w:rFonts w:ascii="Calibri" w:hAnsi="Calibri"/>
          <w:b/>
          <w:color w:val="0F172A"/>
          <w:sz w:val="22"/>
        </w:rPr>
        <w:t xml:space="preserve">• </w:t>
      </w:r>
      <w:r>
        <w:rPr>
          <w:rFonts w:ascii="Calibri" w:hAnsi="Calibri"/>
          <w:color w:val="1E293B"/>
          <w:sz w:val="22"/>
        </w:rPr>
        <w:t>Mərhələ 4: Ani Reaksiya və Hesabın Dondurulması (Response &amp; Freeze): Təcavüzkarın bulud hesabına dərhal IAM Write-Freeze siyasəti tətbiq edilir, bütün yazma və silmə hüquqları dondurulur (SLA &lt; 10s). İnsident qeydi yaradılır və RFC 8032 Ed25519 rəqəmsal imzası ilə möhürlənir.</w:t>
      </w:r>
    </w:p>
    <w:p>
      <w:pPr>
        <w:spacing w:line="276" w:lineRule="auto" w:after="100"/>
      </w:pPr>
      <w:r>
        <w:rPr>
          <w:rFonts w:ascii="Calibri" w:hAnsi="Calibri"/>
          <w:b/>
          <w:color w:val="0F172A"/>
          <w:sz w:val="22"/>
        </w:rPr>
        <w:t xml:space="preserve">• </w:t>
      </w:r>
      <w:r>
        <w:rPr>
          <w:rFonts w:ascii="Calibri" w:hAnsi="Calibri"/>
          <w:color w:val="1E293B"/>
          <w:sz w:val="22"/>
        </w:rPr>
        <w:t>Mərhələ 5: Dəyişdirilməz Zəncirvari Audit (Audit Ledger): Bütün hadisələr hər blokun əvvəlki blokun heşini saxladığı SHA-256 zəncirvari audit jurnalına yazılır. Hər hansı qeydin dəyişdirilməsi zənciri qırır.</w:t>
      </w:r>
    </w:p>
    <w:p>
      <w:pPr>
        <w:spacing w:line="276" w:lineRule="auto" w:after="100"/>
      </w:pPr>
      <w:r>
        <w:rPr>
          <w:rFonts w:ascii="Calibri" w:hAnsi="Calibri"/>
          <w:b/>
          <w:color w:val="0F172A"/>
          <w:sz w:val="22"/>
        </w:rPr>
        <w:t xml:space="preserve">• </w:t>
      </w:r>
      <w:r>
        <w:rPr>
          <w:rFonts w:ascii="Calibri" w:hAnsi="Calibri"/>
          <w:color w:val="1E293B"/>
          <w:sz w:val="22"/>
        </w:rPr>
        <w:t>Mərhələ 6: Sıfır-Etibarlı Karantin Bərpası (Verified Recovery): Ehtiyat nüsxələr AES-256-GCM AEAD vasitəsilə deşifrələnir, izolyasiya olunmuş karantin qovluğuna çıxarılır, hər bir faylın SHA-256 heşi ilkin baseline ilə yoxlanılır. Yalnız 100% VALID təsdiqlənən fayllar saxlanca geri qaytarılır.</w:t>
      </w:r>
    </w:p>
    <w:p>
      <w:pPr>
        <w:keepNext/>
        <w:spacing w:before="400" w:after="120"/>
      </w:pPr>
      <w:r>
        <w:rPr>
          <w:rFonts w:ascii="Calibri" w:hAnsi="Calibri"/>
          <w:b/>
          <w:color w:val="0F172A"/>
          <w:sz w:val="32"/>
        </w:rPr>
        <w:t>5. Bulud Təhlükəsizliyi: Birgə Məsuliyyət, IAM Freeze və Saxlanc Təcridi</w:t>
      </w:r>
    </w:p>
    <w:p>
      <w:pPr>
        <w:spacing w:line="276" w:lineRule="auto" w:after="100"/>
      </w:pPr>
      <w:r>
        <w:rPr>
          <w:rFonts w:ascii="Calibri" w:hAnsi="Calibri"/>
          <w:color w:val="1E293B"/>
          <w:sz w:val="22"/>
        </w:rPr>
        <w:t>Bulud mühitində təhlükəsizliyin təmin edilməsi Birgə Məsuliyyət Modelinə (Shared Responsibility Model) əsaslanır. Bulud provayderi (Supabase / AWS) fiziki serverlərin, şəbəkə avadanlıqlarının və hipervizorun təhlükəsizliyinə cavabdehdirsə, məlumatların şifrələnməsi, giriş hüquqlarının tənzimlənməsi (IAM) və anbarların konfiqurasiyası tamamilə müştərinin (yəni bizim) məsuliyyətimizdədir.</w:t>
      </w:r>
    </w:p>
    <w:p>
      <w:pPr>
        <w:keepNext/>
        <w:spacing w:before="280" w:after="80"/>
      </w:pPr>
      <w:r>
        <w:rPr>
          <w:rFonts w:ascii="Calibri" w:hAnsi="Calibri"/>
          <w:b/>
          <w:color w:val="1E293B"/>
          <w:sz w:val="26"/>
        </w:rPr>
        <w:t>Bulud Xidmət Modellərinin Müqayisəsi</w:t>
      </w:r>
    </w:p>
    <w:p>
      <w:pPr>
        <w:spacing w:line="276" w:lineRule="auto" w:after="100"/>
      </w:pPr>
      <w:r>
        <w:rPr>
          <w:rFonts w:ascii="Calibri" w:hAnsi="Calibri"/>
          <w:color w:val="1E293B"/>
          <w:sz w:val="22"/>
        </w:rPr>
        <w:t>Cədvəl 1. Bulud Xidmət Modellərində Təhlükəsizlik Məsuliyyətlərinin Bölgüsü</w:t>
      </w:r>
    </w:p>
    <w:tbl>
      <w:tblPr>
        <w:tblW w:type="auto" w:w="0"/>
        <w:jc w:val="center"/>
        <w:tblLook w:firstColumn="1" w:firstRow="1" w:lastColumn="0" w:lastRow="0" w:noHBand="0" w:noVBand="1" w:val="04A0"/>
      </w:tblPr>
      <w:tblGrid>
        <w:gridCol w:w="2268"/>
        <w:gridCol w:w="2268"/>
        <w:gridCol w:w="2268"/>
        <w:gridCol w:w="2268"/>
      </w:tblGrid>
      <w:tr>
        <w:tc>
          <w:tcPr>
            <w:tcW w:type="dxa" w:w="1728"/>
            <w:shd w:fill="0F172A"/>
            <w:tcMar>
              <w:top w:w="90" w:type="dxa"/>
              <w:bottom w:w="90" w:type="dxa"/>
              <w:left w:w="100" w:type="dxa"/>
              <w:right w:w="100" w:type="dxa"/>
            </w:tcMar>
          </w:tcPr>
          <w:p>
            <w:pPr>
              <w:jc w:val="center"/>
            </w:pPr>
            <w:r>
              <w:rPr>
                <w:rFonts w:ascii="Calibri" w:hAnsi="Calibri"/>
                <w:b/>
                <w:color w:val="FFFFFF"/>
                <w:sz w:val="19"/>
              </w:rPr>
              <w:t>Xidmət Modeli</w:t>
            </w:r>
          </w:p>
        </w:tc>
        <w:tc>
          <w:tcPr>
            <w:tcW w:type="dxa" w:w="2592"/>
            <w:shd w:fill="0F172A"/>
            <w:tcMar>
              <w:top w:w="90" w:type="dxa"/>
              <w:bottom w:w="90" w:type="dxa"/>
              <w:left w:w="100" w:type="dxa"/>
              <w:right w:w="100" w:type="dxa"/>
            </w:tcMar>
          </w:tcPr>
          <w:p>
            <w:pPr>
              <w:jc w:val="left"/>
            </w:pPr>
            <w:r>
              <w:rPr>
                <w:rFonts w:ascii="Calibri" w:hAnsi="Calibri"/>
                <w:b/>
                <w:color w:val="FFFFFF"/>
                <w:sz w:val="19"/>
              </w:rPr>
              <w:t>Provayderin Nəzarətində</w:t>
            </w:r>
          </w:p>
        </w:tc>
        <w:tc>
          <w:tcPr>
            <w:tcW w:type="dxa" w:w="2592"/>
            <w:shd w:fill="0F172A"/>
            <w:tcMar>
              <w:top w:w="90" w:type="dxa"/>
              <w:bottom w:w="90" w:type="dxa"/>
              <w:left w:w="100" w:type="dxa"/>
              <w:right w:w="100" w:type="dxa"/>
            </w:tcMar>
          </w:tcPr>
          <w:p>
            <w:pPr>
              <w:jc w:val="left"/>
            </w:pPr>
            <w:r>
              <w:rPr>
                <w:rFonts w:ascii="Calibri" w:hAnsi="Calibri"/>
                <w:b/>
                <w:color w:val="FFFFFF"/>
                <w:sz w:val="19"/>
              </w:rPr>
              <w:t>Müştərinin Nəzarətində</w:t>
            </w:r>
          </w:p>
        </w:tc>
        <w:tc>
          <w:tcPr>
            <w:tcW w:type="dxa" w:w="2160"/>
            <w:shd w:fill="0F172A"/>
            <w:tcMar>
              <w:top w:w="90" w:type="dxa"/>
              <w:bottom w:w="90" w:type="dxa"/>
              <w:left w:w="100" w:type="dxa"/>
              <w:right w:w="100" w:type="dxa"/>
            </w:tcMar>
          </w:tcPr>
          <w:p>
            <w:pPr>
              <w:jc w:val="left"/>
            </w:pPr>
            <w:r>
              <w:rPr>
                <w:rFonts w:ascii="Calibri" w:hAnsi="Calibri"/>
                <w:b/>
                <w:color w:val="FFFFFF"/>
                <w:sz w:val="19"/>
              </w:rPr>
              <w:t>CloudRDR Layihəsində Tətbiqi</w:t>
            </w:r>
          </w:p>
        </w:tc>
      </w:tr>
      <w:tr>
        <w:tc>
          <w:tcPr>
            <w:tcW w:type="dxa" w:w="1728"/>
            <w:shd w:fill="FFFFFF"/>
            <w:tcMar>
              <w:top w:w="70" w:type="dxa"/>
              <w:bottom w:w="70" w:type="dxa"/>
              <w:left w:w="100" w:type="dxa"/>
              <w:right w:w="100" w:type="dxa"/>
            </w:tcMar>
          </w:tcPr>
          <w:p>
            <w:pPr>
              <w:jc w:val="center"/>
            </w:pPr>
            <w:r>
              <w:rPr>
                <w:rFonts w:ascii="Calibri" w:hAnsi="Calibri"/>
                <w:color w:val="1E293B"/>
                <w:sz w:val="18"/>
              </w:rPr>
              <w:t>IaaS (İnfrastruktur)</w:t>
            </w:r>
          </w:p>
        </w:tc>
        <w:tc>
          <w:tcPr>
            <w:tcW w:type="dxa" w:w="2592"/>
            <w:shd w:fill="FFFFFF"/>
            <w:tcMar>
              <w:top w:w="70" w:type="dxa"/>
              <w:bottom w:w="70" w:type="dxa"/>
              <w:left w:w="100" w:type="dxa"/>
              <w:right w:w="100" w:type="dxa"/>
            </w:tcMar>
          </w:tcPr>
          <w:p>
            <w:pPr>
              <w:jc w:val="left"/>
            </w:pPr>
            <w:r>
              <w:rPr>
                <w:rFonts w:ascii="Calibri" w:hAnsi="Calibri"/>
                <w:color w:val="1E293B"/>
                <w:sz w:val="18"/>
              </w:rPr>
              <w:t>Fiziki avadanlıq, şəbəkə, serverlər, virtuallaşdırma</w:t>
            </w:r>
          </w:p>
        </w:tc>
        <w:tc>
          <w:tcPr>
            <w:tcW w:type="dxa" w:w="2592"/>
            <w:shd w:fill="FFFFFF"/>
            <w:tcMar>
              <w:top w:w="70" w:type="dxa"/>
              <w:bottom w:w="70" w:type="dxa"/>
              <w:left w:w="100" w:type="dxa"/>
              <w:right w:w="100" w:type="dxa"/>
            </w:tcMar>
          </w:tcPr>
          <w:p>
            <w:pPr>
              <w:jc w:val="left"/>
            </w:pPr>
            <w:r>
              <w:rPr>
                <w:rFonts w:ascii="Calibri" w:hAnsi="Calibri"/>
                <w:color w:val="1E293B"/>
                <w:sz w:val="18"/>
              </w:rPr>
              <w:t>Əməliyyat sistemi, şəbəkə konfiqurasiyası, verilənlər bazası, tətbiq kodu</w:t>
            </w:r>
          </w:p>
        </w:tc>
        <w:tc>
          <w:tcPr>
            <w:tcW w:type="dxa" w:w="2160"/>
            <w:shd w:fill="FFFFFF"/>
            <w:tcMar>
              <w:top w:w="70" w:type="dxa"/>
              <w:bottom w:w="70" w:type="dxa"/>
              <w:left w:w="100" w:type="dxa"/>
              <w:right w:w="100" w:type="dxa"/>
            </w:tcMar>
          </w:tcPr>
          <w:p>
            <w:pPr>
              <w:jc w:val="left"/>
            </w:pPr>
            <w:r>
              <w:rPr>
                <w:rFonts w:ascii="Calibri" w:hAnsi="Calibri"/>
                <w:color w:val="1E293B"/>
                <w:sz w:val="18"/>
              </w:rPr>
              <w:t>Yerli simulyasiya və VM mühiti</w:t>
            </w:r>
          </w:p>
        </w:tc>
      </w:tr>
      <w:tr>
        <w:tc>
          <w:tcPr>
            <w:tcW w:type="dxa" w:w="1728"/>
            <w:shd w:fill="F8FAFC"/>
            <w:tcMar>
              <w:top w:w="70" w:type="dxa"/>
              <w:bottom w:w="70" w:type="dxa"/>
              <w:left w:w="100" w:type="dxa"/>
              <w:right w:w="100" w:type="dxa"/>
            </w:tcMar>
          </w:tcPr>
          <w:p>
            <w:pPr>
              <w:jc w:val="center"/>
            </w:pPr>
            <w:r>
              <w:rPr>
                <w:rFonts w:ascii="Calibri" w:hAnsi="Calibri"/>
                <w:color w:val="1E293B"/>
                <w:sz w:val="18"/>
              </w:rPr>
              <w:t>PaaS / BaaS (Platforma)</w:t>
            </w:r>
          </w:p>
        </w:tc>
        <w:tc>
          <w:tcPr>
            <w:tcW w:type="dxa" w:w="2592"/>
            <w:shd w:fill="F8FAFC"/>
            <w:tcMar>
              <w:top w:w="70" w:type="dxa"/>
              <w:bottom w:w="70" w:type="dxa"/>
              <w:left w:w="100" w:type="dxa"/>
              <w:right w:w="100" w:type="dxa"/>
            </w:tcMar>
          </w:tcPr>
          <w:p>
            <w:pPr>
              <w:jc w:val="left"/>
            </w:pPr>
            <w:r>
              <w:rPr>
                <w:rFonts w:ascii="Calibri" w:hAnsi="Calibri"/>
                <w:color w:val="1E293B"/>
                <w:sz w:val="18"/>
              </w:rPr>
              <w:t>ƏS, verilənlər bazası mühərriki, saxlanc infrastrukturu</w:t>
            </w:r>
          </w:p>
        </w:tc>
        <w:tc>
          <w:tcPr>
            <w:tcW w:type="dxa" w:w="2592"/>
            <w:shd w:fill="F8FAFC"/>
            <w:tcMar>
              <w:top w:w="70" w:type="dxa"/>
              <w:bottom w:w="70" w:type="dxa"/>
              <w:left w:w="100" w:type="dxa"/>
              <w:right w:w="100" w:type="dxa"/>
            </w:tcMar>
          </w:tcPr>
          <w:p>
            <w:pPr>
              <w:jc w:val="left"/>
            </w:pPr>
            <w:r>
              <w:rPr>
                <w:rFonts w:ascii="Calibri" w:hAnsi="Calibri"/>
                <w:color w:val="1E293B"/>
                <w:sz w:val="18"/>
              </w:rPr>
              <w:t>Məlumatların şifrələnməsi, RLS qaydaları, istifadəçi autentifikasiyası, tətbiq loqikası</w:t>
            </w:r>
          </w:p>
        </w:tc>
        <w:tc>
          <w:tcPr>
            <w:tcW w:type="dxa" w:w="2160"/>
            <w:shd w:fill="F8FAFC"/>
            <w:tcMar>
              <w:top w:w="70" w:type="dxa"/>
              <w:bottom w:w="70" w:type="dxa"/>
              <w:left w:w="100" w:type="dxa"/>
              <w:right w:w="100" w:type="dxa"/>
            </w:tcMar>
          </w:tcPr>
          <w:p>
            <w:pPr>
              <w:jc w:val="left"/>
            </w:pPr>
            <w:r>
              <w:rPr>
                <w:rFonts w:ascii="Calibri" w:hAnsi="Calibri"/>
                <w:color w:val="1E293B"/>
                <w:sz w:val="18"/>
              </w:rPr>
              <w:t>Supabase Postgres &amp; Storage (Əsas platforma)</w:t>
            </w:r>
          </w:p>
        </w:tc>
      </w:tr>
      <w:tr>
        <w:tc>
          <w:tcPr>
            <w:tcW w:type="dxa" w:w="1728"/>
            <w:shd w:fill="FFFFFF"/>
            <w:tcMar>
              <w:top w:w="70" w:type="dxa"/>
              <w:bottom w:w="70" w:type="dxa"/>
              <w:left w:w="100" w:type="dxa"/>
              <w:right w:w="100" w:type="dxa"/>
            </w:tcMar>
          </w:tcPr>
          <w:p>
            <w:pPr>
              <w:jc w:val="center"/>
            </w:pPr>
            <w:r>
              <w:rPr>
                <w:rFonts w:ascii="Calibri" w:hAnsi="Calibri"/>
                <w:color w:val="1E293B"/>
                <w:sz w:val="18"/>
              </w:rPr>
              <w:t>SaaS (Proqram təminatı)</w:t>
            </w:r>
          </w:p>
        </w:tc>
        <w:tc>
          <w:tcPr>
            <w:tcW w:type="dxa" w:w="2592"/>
            <w:shd w:fill="FFFFFF"/>
            <w:tcMar>
              <w:top w:w="70" w:type="dxa"/>
              <w:bottom w:w="70" w:type="dxa"/>
              <w:left w:w="100" w:type="dxa"/>
              <w:right w:w="100" w:type="dxa"/>
            </w:tcMar>
          </w:tcPr>
          <w:p>
            <w:pPr>
              <w:jc w:val="left"/>
            </w:pPr>
            <w:r>
              <w:rPr>
                <w:rFonts w:ascii="Calibri" w:hAnsi="Calibri"/>
                <w:color w:val="1E293B"/>
                <w:sz w:val="18"/>
              </w:rPr>
              <w:t>Bütün infrastruktur, verilənlər bazası və proqram təminatı</w:t>
            </w:r>
          </w:p>
        </w:tc>
        <w:tc>
          <w:tcPr>
            <w:tcW w:type="dxa" w:w="2592"/>
            <w:shd w:fill="FFFFFF"/>
            <w:tcMar>
              <w:top w:w="70" w:type="dxa"/>
              <w:bottom w:w="70" w:type="dxa"/>
              <w:left w:w="100" w:type="dxa"/>
              <w:right w:w="100" w:type="dxa"/>
            </w:tcMar>
          </w:tcPr>
          <w:p>
            <w:pPr>
              <w:jc w:val="left"/>
            </w:pPr>
            <w:r>
              <w:rPr>
                <w:rFonts w:ascii="Calibri" w:hAnsi="Calibri"/>
                <w:color w:val="1E293B"/>
                <w:sz w:val="18"/>
              </w:rPr>
              <w:t>Yalnız son istifadəçi giriş hüquqları və konfiqurasiya</w:t>
            </w:r>
          </w:p>
        </w:tc>
        <w:tc>
          <w:tcPr>
            <w:tcW w:type="dxa" w:w="2160"/>
            <w:shd w:fill="FFFFFF"/>
            <w:tcMar>
              <w:top w:w="70" w:type="dxa"/>
              <w:bottom w:w="70" w:type="dxa"/>
              <w:left w:w="100" w:type="dxa"/>
              <w:right w:w="100" w:type="dxa"/>
            </w:tcMar>
          </w:tcPr>
          <w:p>
            <w:pPr>
              <w:jc w:val="left"/>
            </w:pPr>
            <w:r>
              <w:rPr>
                <w:rFonts w:ascii="Calibri" w:hAnsi="Calibri"/>
                <w:color w:val="1E293B"/>
                <w:sz w:val="18"/>
              </w:rPr>
              <w:t>Vercel Production Hosting &amp; Linear</w:t>
            </w:r>
          </w:p>
        </w:tc>
      </w:tr>
    </w:tbl>
    <w:p>
      <w:pPr>
        <w:spacing w:after="80"/>
      </w:pPr>
    </w:p>
    <w:p>
      <w:pPr>
        <w:keepNext/>
        <w:spacing w:before="280" w:after="80"/>
      </w:pPr>
      <w:r>
        <w:rPr>
          <w:rFonts w:ascii="Calibri" w:hAnsi="Calibri"/>
          <w:b/>
          <w:color w:val="1E293B"/>
          <w:sz w:val="26"/>
        </w:rPr>
        <w:t>Supabase Seçimi, Özəl Saxlanc və Row Level Security (RLS)</w:t>
      </w:r>
    </w:p>
    <w:p>
      <w:pPr>
        <w:spacing w:line="276" w:lineRule="auto" w:after="100"/>
      </w:pPr>
      <w:r>
        <w:rPr>
          <w:rFonts w:ascii="Calibri" w:hAnsi="Calibri"/>
          <w:color w:val="1E293B"/>
          <w:sz w:val="22"/>
        </w:rPr>
        <w:t>Layihədə əsas bulud platforması kimi açıq mənbəli Supabase (Postgres və S3-uyğun Storage) seçilmişdir. Bütün fayllar `protected` adlı özəl (private) saxlanc anbarında saxlanılır. Anbarın açıq internetə birbaşa oxunması (public bucket) qəti şəkildə qadağan edilmişdir. Bütün verilənlər bazası cədvəllərində Row Level Security (RLS) aktivləşdirilmişdir. Anonim və hətta autentifikasiyadan keçmiş adi istifadəçilərə cədvəlləri oxumaq və yazmaq hüququ verilməmişdir (`deny_all`). Yalnız backend servisinin server tərəfində saxlanılan məxfi `SERVICE_ROLE` açarı RLS məhdudiyyətlərini aşaraq əməliyyat apara bilər.</w:t>
      </w:r>
    </w:p>
    <w:p>
      <w:pPr>
        <w:keepNext/>
        <w:spacing w:before="160" w:after="40"/>
        <w:jc w:val="center"/>
      </w:pPr>
      <w:r>
        <w:drawing>
          <wp:inline xmlns:a="http://schemas.openxmlformats.org/drawingml/2006/main" xmlns:pic="http://schemas.openxmlformats.org/drawingml/2006/picture">
            <wp:extent cx="5303520" cy="2981774"/>
            <wp:docPr id="4" name="Picture 4"/>
            <wp:cNvGraphicFramePr>
              <a:graphicFrameLocks noChangeAspect="1"/>
            </wp:cNvGraphicFramePr>
            <a:graphic>
              <a:graphicData uri="http://schemas.openxmlformats.org/drawingml/2006/picture">
                <pic:pic>
                  <pic:nvPicPr>
                    <pic:cNvPr id="0" name="02_supabase_storage_and_rls.png"/>
                    <pic:cNvPicPr/>
                  </pic:nvPicPr>
                  <pic:blipFill>
                    <a:blip r:embed="rId13"/>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4. Supabase Sıfır-Etibar (Zero-Trust) RLS Təhlükəsizlik Siyasətləri — </w:t>
      </w:r>
      <w:r>
        <w:rPr>
          <w:rFonts w:ascii="Calibri" w:hAnsi="Calibri"/>
          <w:i/>
          <w:color w:val="64748B"/>
          <w:sz w:val="19"/>
        </w:rPr>
        <w:t>Bütün daxili cədvəllərdə anon və authenticated rolları üçün icazələrin qapadıldığını nümayiş etdirir.</w:t>
      </w:r>
    </w:p>
    <w:p>
      <w:pPr>
        <w:keepNext/>
        <w:spacing w:before="280" w:after="80"/>
      </w:pPr>
      <w:r>
        <w:rPr>
          <w:rFonts w:ascii="Calibri" w:hAnsi="Calibri"/>
          <w:b/>
          <w:color w:val="1E293B"/>
          <w:sz w:val="26"/>
        </w:rPr>
        <w:t>Ən Az Səlahiyyət Prinsipi (Least Privilege) və IAM Write-Freeze Siyasəti</w:t>
      </w:r>
    </w:p>
    <w:p>
      <w:pPr>
        <w:spacing w:line="276" w:lineRule="auto" w:after="100"/>
      </w:pPr>
      <w:r>
        <w:rPr>
          <w:rFonts w:ascii="Calibri" w:hAnsi="Calibri"/>
          <w:color w:val="1E293B"/>
          <w:sz w:val="22"/>
        </w:rPr>
        <w:t>Təcavüzkar API açarını ələ keçirib kütləvi şifrələməyə başladıqda, ən vacib addım hücumun qarşısını dərhal kəsməkdir. CloudRDR mühərriki ransomware aşkarladıqda, dərhal cloud idarəetmə interfeysinə müraciət edərək həmin hesaba qarşı `IAM Deny-All Write` siyasətini aktivləşdirir. Bu siyasət oxuma hüququnu qüvvədə saxlayır (belə ki, bərpa servisi faylları yoxlamalıdır), lakin hər hansı yeni fayl yazmağı və ya mövcud faylları silməyi dərhal bloklayır. Benchmark ölçmələrimiz göstərir ki, IAM Freeze əməliyyatı orta hesabla 0.24 millisaniyə ərzində icra olunur (SLA hədəfi: &lt; 10 saniyə).</w:t>
      </w:r>
    </w:p>
    <w:p>
      <w:pPr>
        <w:keepNext/>
        <w:spacing w:before="160" w:after="40"/>
        <w:jc w:val="center"/>
      </w:pPr>
      <w:r>
        <w:drawing>
          <wp:inline xmlns:a="http://schemas.openxmlformats.org/drawingml/2006/main" xmlns:pic="http://schemas.openxmlformats.org/drawingml/2006/picture">
            <wp:extent cx="5303520" cy="2981774"/>
            <wp:docPr id="5" name="Picture 5"/>
            <wp:cNvGraphicFramePr>
              <a:graphicFrameLocks noChangeAspect="1"/>
            </wp:cNvGraphicFramePr>
            <a:graphic>
              <a:graphicData uri="http://schemas.openxmlformats.org/drawingml/2006/picture">
                <pic:pic>
                  <pic:nvPicPr>
                    <pic:cNvPr id="0" name="08_account_frozen_iam_policy.png"/>
                    <pic:cNvPicPr/>
                  </pic:nvPicPr>
                  <pic:blipFill>
                    <a:blip r:embed="rId14"/>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5. Avtomatlaşdırılmış IAM Dondurulması və Bloklama Xəbərdarlığı — </w:t>
      </w:r>
      <w:r>
        <w:rPr>
          <w:rFonts w:ascii="Calibri" w:hAnsi="Calibri"/>
          <w:i/>
          <w:color w:val="64748B"/>
          <w:sz w:val="19"/>
        </w:rPr>
        <w:t>Təhlükə qeydə alındıqdan sonra yazma hüquqlarının dərhal məhdudlaşdırıldığını təsdiq edir.</w:t>
      </w:r>
    </w:p>
    <w:p>
      <w:pPr>
        <w:keepNext/>
        <w:spacing w:before="280" w:after="80"/>
      </w:pPr>
      <w:r>
        <w:rPr>
          <w:rFonts w:ascii="Calibri" w:hAnsi="Calibri"/>
          <w:b/>
          <w:color w:val="1E293B"/>
          <w:sz w:val="26"/>
        </w:rPr>
        <w:t>Açarların Təhlükəsiz İdarə Edilməsi və Müştəri Tərəfli Şifrələmə</w:t>
      </w:r>
    </w:p>
    <w:p>
      <w:pPr>
        <w:spacing w:line="276" w:lineRule="auto" w:after="100"/>
      </w:pPr>
      <w:r>
        <w:rPr>
          <w:rFonts w:ascii="Calibri" w:hAnsi="Calibri"/>
          <w:color w:val="1E293B"/>
          <w:sz w:val="22"/>
        </w:rPr>
        <w:t>Sistemdə heç bir məxfi açar (API Key, Supabase Service Key, Master Encryption Key) birbaşa kod bazasında saxlanılmır. Bütün açarlar `.env` faylında saxlanılır və `.gitignore` vasitəsilə ictimai GitHub reposuna düşməsi bloklanmışdır. Bundan əlavə, ehtiyat nüsxələr buluda ötürülməzdən əvvəl yerli maşında AES-256-GCM ilə şifrələnir (Client-side encryption). Nəticədə, hətta bulud provayderinin özü belə bizim faylların məzmununu oxuya bilməz.</w:t>
      </w:r>
    </w:p>
    <w:tbl>
      <w:tblPr>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line="276" w:lineRule="auto" w:after="40"/>
            </w:pPr>
            <w:r>
              <w:rPr>
                <w:rFonts w:ascii="Calibri" w:hAnsi="Calibri"/>
                <w:b/>
                <w:color w:val="0E7490"/>
                <w:sz w:val="21"/>
              </w:rPr>
              <w:t>Qısa: nə etdim</w:t>
              <w:br/>
            </w:r>
            <w:r>
              <w:rPr>
                <w:b/>
              </w:rPr>
              <w:t xml:space="preserve">Məqsəd: </w:t>
            </w:r>
            <w:r>
              <w:t>Bulud anbarında kütləvi hücum baş verərsə, təcavüzkarın yazma imkanlarını saniyələr içində dondurmaq və məlumatları təcrid etmək.</w:t>
              <w:br/>
            </w:r>
            <w:r>
              <w:rPr>
                <w:b/>
              </w:rPr>
              <w:t xml:space="preserve">Necə etdim: </w:t>
            </w:r>
            <w:r>
              <w:t>Supabase RLS qaydalarını deny_all etdim, özəl bucket qurdum və dərhal işə düşən IAM Write-Freeze adapterini tətbiq etdim.</w:t>
            </w:r>
          </w:p>
        </w:tc>
      </w:tr>
    </w:tbl>
    <w:p>
      <w:pPr>
        <w:spacing w:after="60"/>
      </w:pPr>
    </w:p>
    <w:p>
      <w:pPr>
        <w:keepNext/>
        <w:spacing w:before="400" w:after="120"/>
      </w:pPr>
      <w:r>
        <w:rPr>
          <w:rFonts w:ascii="Calibri" w:hAnsi="Calibri"/>
          <w:b/>
          <w:color w:val="0F172A"/>
          <w:sz w:val="32"/>
        </w:rPr>
        <w:t>6. Kriptoqrafiya Mexanizmləri: Merkle DAG, AES-256-GCM və Ed25519</w:t>
      </w:r>
    </w:p>
    <w:p>
      <w:pPr>
        <w:spacing w:line="276" w:lineRule="auto" w:after="100"/>
      </w:pPr>
      <w:r>
        <w:rPr>
          <w:rFonts w:ascii="Calibri" w:hAnsi="Calibri"/>
          <w:color w:val="1E293B"/>
          <w:sz w:val="22"/>
        </w:rPr>
        <w:t>Kriptoqrafiya — CloudRDR platformasının riyazi onurğa sütunudur. Sistemdə 4 əsas kriptoqrafik primitivdən istifadə edilmişdir: 1. SHA-256 axın heşlənməsi (fayl tamlığı üçün), 2. Merkle Ağacı DAG (bütün anbarın bütövlük möhürü üçün), 3. AES-256-GCM AEAD (ehtiyat nüsxələrin şifrələnməsi və autentifikasiyası üçün), 4. RFC 8032 Ed25519 (insident aktlarının rəqəmsal imzalanması üçün).</w:t>
      </w:r>
    </w:p>
    <w:p>
      <w:pPr>
        <w:keepNext/>
        <w:spacing w:before="280" w:after="80"/>
      </w:pPr>
      <w:r>
        <w:rPr>
          <w:rFonts w:ascii="Calibri" w:hAnsi="Calibri"/>
          <w:b/>
          <w:color w:val="1E293B"/>
          <w:sz w:val="26"/>
        </w:rPr>
        <w:t>6.1. SHA-256 İlkin Vəziyyət (Baseline) və Merkle Ağacı</w:t>
      </w:r>
    </w:p>
    <w:p>
      <w:pPr>
        <w:spacing w:line="276" w:lineRule="auto" w:after="100"/>
      </w:pPr>
      <w:r>
        <w:rPr>
          <w:rFonts w:ascii="Calibri" w:hAnsi="Calibri"/>
          <w:color w:val="1E293B"/>
          <w:sz w:val="22"/>
        </w:rPr>
        <w:t>**Nə edir:** Saxlancdakı hər bir faylın məzmunundan 64 simvolluq unikal heş çıxarır və onları cüt-cüt birləşdirərək vahid Merkle Root yaradır.</w:t>
        <w:br/>
        <w:t>Nümunə: Heş funksiyasını hər bir faylın dəyişməz 'rəqəmsal barmaq izi', Merkle Root-u isə bütün arxivin üzərinə vurulmuş 'ümumi baş möhür' kimi təsəvvür etmək olar.</w:t>
        <w:br/>
        <w:t>**Necə etdim:** `crypto.createHash('sha256')` axın metodu ilə böyük faylları RAM-a tam yükləmədən heşlədim. Alınan heşləri əlifba sırası ilə düzüb Bitcoin-tipli binar Merkle ağacını qurdum.</w:t>
        <w:br/>
        <w:t>**Yoxla:** `npm run seed` əmrini icra edib terminalda yaranan 64 simvolluq Merkle Root dəyərini yoxla.</w:t>
        <w:br/>
        <w:t>**Gözlənilən nəticə:** 50 fayl üçün Merkle kökü hesablanır və `baseline_snapshots` cədvəlinə yazılır.</w:t>
      </w:r>
    </w:p>
    <w:p>
      <w:pPr>
        <w:keepNext/>
        <w:spacing w:before="160" w:after="40"/>
        <w:jc w:val="center"/>
      </w:pPr>
      <w:r>
        <w:drawing>
          <wp:inline xmlns:a="http://schemas.openxmlformats.org/drawingml/2006/main" xmlns:pic="http://schemas.openxmlformats.org/drawingml/2006/picture">
            <wp:extent cx="5303520" cy="2844615"/>
            <wp:docPr id="6" name="Picture 6"/>
            <wp:cNvGraphicFramePr>
              <a:graphicFrameLocks noChangeAspect="1"/>
            </wp:cNvGraphicFramePr>
            <a:graphic>
              <a:graphicData uri="http://schemas.openxmlformats.org/drawingml/2006/picture">
                <pic:pic>
                  <pic:nvPicPr>
                    <pic:cNvPr id="0" name="03_baseline_generation_terminal.png"/>
                    <pic:cNvPicPr/>
                  </pic:nvPicPr>
                  <pic:blipFill>
                    <a:blip r:embed="rId15"/>
                    <a:stretch>
                      <a:fillRect/>
                    </a:stretch>
                  </pic:blipFill>
                  <pic:spPr>
                    <a:xfrm>
                      <a:off x="0" y="0"/>
                      <a:ext cx="5303520" cy="2844615"/>
                    </a:xfrm>
                    <a:prstGeom prst="rect"/>
                  </pic:spPr>
                </pic:pic>
              </a:graphicData>
            </a:graphic>
          </wp:inline>
        </w:drawing>
      </w:r>
    </w:p>
    <w:p>
      <w:pPr>
        <w:spacing w:after="160"/>
        <w:jc w:val="center"/>
      </w:pPr>
      <w:r>
        <w:rPr>
          <w:rFonts w:ascii="Calibri" w:hAnsi="Calibri"/>
          <w:b/>
          <w:color w:val="334155"/>
          <w:sz w:val="19"/>
        </w:rPr>
        <w:t xml:space="preserve">Şəkil 6. Kriptoqrafik İlkin Vəziyyətin (Baseline) Yaranması — </w:t>
      </w:r>
      <w:r>
        <w:rPr>
          <w:rFonts w:ascii="Calibri" w:hAnsi="Calibri"/>
          <w:i/>
          <w:color w:val="64748B"/>
          <w:sz w:val="19"/>
        </w:rPr>
        <w:t>50 faylın heşlənməsi və Merkle Root heşinin uğurla hesablandığını nümayiş etdirir.</w:t>
      </w:r>
    </w:p>
    <w:p>
      <w:pPr>
        <w:keepNext/>
        <w:spacing w:before="160" w:after="40"/>
        <w:jc w:val="center"/>
      </w:pPr>
      <w:r>
        <w:drawing>
          <wp:inline xmlns:a="http://schemas.openxmlformats.org/drawingml/2006/main" xmlns:pic="http://schemas.openxmlformats.org/drawingml/2006/picture">
            <wp:extent cx="5303520" cy="2876485"/>
            <wp:docPr id="7" name="Picture 7"/>
            <wp:cNvGraphicFramePr>
              <a:graphicFrameLocks noChangeAspect="1"/>
            </wp:cNvGraphicFramePr>
            <a:graphic>
              <a:graphicData uri="http://schemas.openxmlformats.org/drawingml/2006/picture">
                <pic:pic>
                  <pic:nvPicPr>
                    <pic:cNvPr id="0" name="07_merkle_tree_corruption_climb.png"/>
                    <pic:cNvPicPr/>
                  </pic:nvPicPr>
                  <pic:blipFill>
                    <a:blip r:embed="rId16"/>
                    <a:stretch>
                      <a:fillRect/>
                    </a:stretch>
                  </pic:blipFill>
                  <pic:spPr>
                    <a:xfrm>
                      <a:off x="0" y="0"/>
                      <a:ext cx="5303520" cy="2876485"/>
                    </a:xfrm>
                    <a:prstGeom prst="rect"/>
                  </pic:spPr>
                </pic:pic>
              </a:graphicData>
            </a:graphic>
          </wp:inline>
        </w:drawing>
      </w:r>
    </w:p>
    <w:p>
      <w:pPr>
        <w:spacing w:after="160"/>
        <w:jc w:val="center"/>
      </w:pPr>
      <w:r>
        <w:rPr>
          <w:rFonts w:ascii="Calibri" w:hAnsi="Calibri"/>
          <w:b/>
          <w:color w:val="334155"/>
          <w:sz w:val="19"/>
        </w:rPr>
        <w:t xml:space="preserve">Şəkil 7. Merkle Ağacında Korlanmanın Kökə Doğru Yayılması — </w:t>
      </w:r>
      <w:r>
        <w:rPr>
          <w:rFonts w:ascii="Calibri" w:hAnsi="Calibri"/>
          <w:i/>
          <w:color w:val="64748B"/>
          <w:sz w:val="19"/>
        </w:rPr>
        <w:t>Ransomware faylları dəyişdikdə yarpaqların və kök heşinin qırmızı rəngdə tamlığının pozulduğunu əks etdirir.</w:t>
      </w:r>
    </w:p>
    <w:p>
      <w:pPr>
        <w:keepNext/>
        <w:spacing w:before="280" w:after="80"/>
      </w:pPr>
      <w:r>
        <w:rPr>
          <w:rFonts w:ascii="Calibri" w:hAnsi="Calibri"/>
          <w:b/>
          <w:color w:val="1E293B"/>
          <w:sz w:val="26"/>
        </w:rPr>
        <w:t>6.2. AES-256-GCM ilə Autentifikasiyalı Şifrələmə (AEAD)</w:t>
      </w:r>
    </w:p>
    <w:p>
      <w:pPr>
        <w:spacing w:line="276" w:lineRule="auto" w:after="100"/>
      </w:pPr>
      <w:r>
        <w:rPr>
          <w:rFonts w:ascii="Calibri" w:hAnsi="Calibri"/>
          <w:color w:val="1E293B"/>
          <w:sz w:val="22"/>
        </w:rPr>
        <w:t>**Nə edir:** Ehtiyat nüsxələri şifrələyir və fayla 16 baytlıq AEAD autentifikasiya teqi əlavə edir. Əgər şifrəli faylın içində 1 bayt belə dəyişdirilərsə, deşifrələmə dərhal xəta verir və faylı açmır.</w:t>
        <w:br/>
        <w:t>Nümunə: AEAD şifrələməni xüsusi rəqəmsal plombla bağlanan diplomatik çantaya bənzətmək olar — plombla oynanılsa, çanta içindəki sənədi məhv edir və oxunmasına icazə vermir.</w:t>
        <w:br/>
        <w:t>**Necə etdim:** `aes-256-gcm` alqoritmi ilə 12 baytlıq unikal IV (Initialization Vector) və 16 baytlıq Auth Tag generasiya etdim. Faylın adı və versiyasını AAD (Additional Authenticated Data) kimi teqə bağladım.</w:t>
        <w:br/>
        <w:t>**Yoxla:** Şifrələnmiş faylın 40-cı baytını süni şəkildə dəyiş (bit flip) və deşifrələməni sına.</w:t>
        <w:br/>
        <w:t>**Gözlənilən nəticə:** `aeadVerified = false` qayıdır və sıfır bayt məlumat sızır.</w:t>
      </w:r>
    </w:p>
    <w:p>
      <w:pPr>
        <w:keepNext/>
        <w:spacing w:before="160" w:after="40"/>
        <w:jc w:val="center"/>
      </w:pPr>
      <w:r>
        <w:drawing>
          <wp:inline xmlns:a="http://schemas.openxmlformats.org/drawingml/2006/main" xmlns:pic="http://schemas.openxmlformats.org/drawingml/2006/picture">
            <wp:extent cx="5303520" cy="2507119"/>
            <wp:docPr id="8" name="Picture 8"/>
            <wp:cNvGraphicFramePr>
              <a:graphicFrameLocks noChangeAspect="1"/>
            </wp:cNvGraphicFramePr>
            <a:graphic>
              <a:graphicData uri="http://schemas.openxmlformats.org/drawingml/2006/picture">
                <pic:pic>
                  <pic:nvPicPr>
                    <pic:cNvPr id="0" name="12_terminal_tamper_exp_aes_aead.png"/>
                    <pic:cNvPicPr/>
                  </pic:nvPicPr>
                  <pic:blipFill>
                    <a:blip r:embed="rId17"/>
                    <a:stretch>
                      <a:fillRect/>
                    </a:stretch>
                  </pic:blipFill>
                  <pic:spPr>
                    <a:xfrm>
                      <a:off x="0" y="0"/>
                      <a:ext cx="5303520" cy="2507119"/>
                    </a:xfrm>
                    <a:prstGeom prst="rect"/>
                  </pic:spPr>
                </pic:pic>
              </a:graphicData>
            </a:graphic>
          </wp:inline>
        </w:drawing>
      </w:r>
    </w:p>
    <w:p>
      <w:pPr>
        <w:spacing w:after="160"/>
        <w:jc w:val="center"/>
      </w:pPr>
      <w:r>
        <w:rPr>
          <w:rFonts w:ascii="Calibri" w:hAnsi="Calibri"/>
          <w:b/>
          <w:color w:val="334155"/>
          <w:sz w:val="19"/>
        </w:rPr>
        <w:t xml:space="preserve">Şəkil 8. AES-256-GCM AEAD Saxtalaşdırmanın Rədd Edilməsi Təcrübəsi — </w:t>
      </w:r>
      <w:r>
        <w:rPr>
          <w:rFonts w:ascii="Calibri" w:hAnsi="Calibri"/>
          <w:i/>
          <w:color w:val="64748B"/>
          <w:sz w:val="19"/>
        </w:rPr>
        <w:t>Şifrəli faylda 1 bayt dəyişdirildikdə kriptoqrafik yoxlamanın dərhal xəta verdiyini və bərpanı dayandırdığını sübut edir.</w:t>
      </w:r>
    </w:p>
    <w:p>
      <w:pPr>
        <w:keepNext/>
        <w:spacing w:before="280" w:after="80"/>
      </w:pPr>
      <w:r>
        <w:rPr>
          <w:rFonts w:ascii="Calibri" w:hAnsi="Calibri"/>
          <w:b/>
          <w:color w:val="1E293B"/>
          <w:sz w:val="26"/>
        </w:rPr>
        <w:t>6.3. RFC 8032 Ed25519 ilə İnsident Aktlarının Rəqəmsal İmzalanması</w:t>
      </w:r>
    </w:p>
    <w:p>
      <w:pPr>
        <w:spacing w:line="276" w:lineRule="auto" w:after="100"/>
      </w:pPr>
      <w:r>
        <w:rPr>
          <w:rFonts w:ascii="Calibri" w:hAnsi="Calibri"/>
          <w:color w:val="1E293B"/>
          <w:sz w:val="22"/>
        </w:rPr>
        <w:t>**Nə edir:** Baş vermiş ransomware insidentinin bütün detallarını (vaxt, təcavüzkarın hesabı, zədələnmiş fayllar) Eliptik Əyri Kriptoqrafiyası (Ed25519) ilə imzalayır və hüquqi məhkəmə sübutuna çevirir.</w:t>
        <w:br/>
        <w:t>Nümunə: Rəqəmsal imzanı notariat tərəfindən təsdiqlənmiş və heç cür saxtalaşdırılması mümkün olmayan elektron möhür kimi qəbul etmək olar.</w:t>
        <w:br/>
        <w:t>**Necə etdim:** Node.js `crypto.generateKeyPairSync('ed25519')` ilə açar cütlüyü yaratdım. İnsident JSON obyektini kanonik şəkildə sıralayıb 64 baytlıq imza hasil etdim.</w:t>
        <w:br/>
        <w:t>**Yoxla:** İmzalanmış insident qeydində 'freezeStatus' dəyərini dəyişdirib imzanı yenidən yoxla.</w:t>
        <w:br/>
        <w:t>**Gözlənilən nəticə:** `verifyRecord()` funksiyası `false` qaytarır və sənədin saxtalaşdırıldığını bildirir.</w:t>
      </w:r>
    </w:p>
    <w:p>
      <w:pPr>
        <w:keepNext/>
        <w:spacing w:before="160" w:after="40"/>
        <w:jc w:val="center"/>
      </w:pPr>
      <w:r>
        <w:drawing>
          <wp:inline xmlns:a="http://schemas.openxmlformats.org/drawingml/2006/main" xmlns:pic="http://schemas.openxmlformats.org/drawingml/2006/picture">
            <wp:extent cx="5303520" cy="2981774"/>
            <wp:docPr id="9" name="Picture 9"/>
            <wp:cNvGraphicFramePr>
              <a:graphicFrameLocks noChangeAspect="1"/>
            </wp:cNvGraphicFramePr>
            <a:graphic>
              <a:graphicData uri="http://schemas.openxmlformats.org/drawingml/2006/picture">
                <pic:pic>
                  <pic:nvPicPr>
                    <pic:cNvPr id="0" name="09_incident_detail_ed25519_valid.png"/>
                    <pic:cNvPicPr/>
                  </pic:nvPicPr>
                  <pic:blipFill>
                    <a:blip r:embed="rId18"/>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9. SOC Nəzarət Panelində İnsident İmzası və Sübut Zənciri — </w:t>
      </w:r>
      <w:r>
        <w:rPr>
          <w:rFonts w:ascii="Calibri" w:hAnsi="Calibri"/>
          <w:i/>
          <w:color w:val="64748B"/>
          <w:sz w:val="19"/>
        </w:rPr>
        <w:t>RFC 8032 Ed25519 imzasının və Merkle kökünün kriptoqrafik təsdiq kartını göstərir.</w:t>
      </w:r>
    </w:p>
    <w:p>
      <w:pPr>
        <w:keepNext/>
        <w:spacing w:before="160" w:after="40"/>
        <w:jc w:val="center"/>
      </w:pPr>
      <w:r>
        <w:drawing>
          <wp:inline xmlns:a="http://schemas.openxmlformats.org/drawingml/2006/main" xmlns:pic="http://schemas.openxmlformats.org/drawingml/2006/picture">
            <wp:extent cx="5303520" cy="2410691"/>
            <wp:docPr id="10" name="Picture 10"/>
            <wp:cNvGraphicFramePr>
              <a:graphicFrameLocks noChangeAspect="1"/>
            </wp:cNvGraphicFramePr>
            <a:graphic>
              <a:graphicData uri="http://schemas.openxmlformats.org/drawingml/2006/picture">
                <pic:pic>
                  <pic:nvPicPr>
                    <pic:cNvPr id="0" name="13_terminal_tamper_exp_ed25519_sig.png"/>
                    <pic:cNvPicPr/>
                  </pic:nvPicPr>
                  <pic:blipFill>
                    <a:blip r:embed="rId19"/>
                    <a:stretch>
                      <a:fillRect/>
                    </a:stretch>
                  </pic:blipFill>
                  <pic:spPr>
                    <a:xfrm>
                      <a:off x="0" y="0"/>
                      <a:ext cx="5303520" cy="2410691"/>
                    </a:xfrm>
                    <a:prstGeom prst="rect"/>
                  </pic:spPr>
                </pic:pic>
              </a:graphicData>
            </a:graphic>
          </wp:inline>
        </w:drawing>
      </w:r>
    </w:p>
    <w:p>
      <w:pPr>
        <w:spacing w:after="160"/>
        <w:jc w:val="center"/>
      </w:pPr>
      <w:r>
        <w:rPr>
          <w:rFonts w:ascii="Calibri" w:hAnsi="Calibri"/>
          <w:b/>
          <w:color w:val="334155"/>
          <w:sz w:val="19"/>
        </w:rPr>
        <w:t xml:space="preserve">Şəkil 10. Ed25519 İnsident Qeydinin Saxtalaşdırılmasının Aşkarlanması — </w:t>
      </w:r>
      <w:r>
        <w:rPr>
          <w:rFonts w:ascii="Calibri" w:hAnsi="Calibri"/>
          <w:i/>
          <w:color w:val="64748B"/>
          <w:sz w:val="19"/>
        </w:rPr>
        <w:t>İnsident qeydindəki bircə söz dəyişdirildikdə rəqəmsal imzanın dərhal etibarsız sayıldığını təsdiq edir.</w:t>
      </w:r>
    </w:p>
    <w:p>
      <w:pPr>
        <w:keepNext/>
        <w:spacing w:before="280" w:after="80"/>
      </w:pPr>
      <w:r>
        <w:rPr>
          <w:rFonts w:ascii="Calibri" w:hAnsi="Calibri"/>
          <w:b/>
          <w:color w:val="1E293B"/>
          <w:sz w:val="26"/>
        </w:rPr>
        <w:t>6.4. Dəyişdirilməz Zəncirvari Audit Jurnalı (Hash-Chained Log)</w:t>
      </w:r>
    </w:p>
    <w:p>
      <w:pPr>
        <w:spacing w:line="276" w:lineRule="auto" w:after="100"/>
      </w:pPr>
      <w:r>
        <w:rPr>
          <w:rFonts w:ascii="Calibri" w:hAnsi="Calibri"/>
          <w:color w:val="1E293B"/>
          <w:sz w:val="22"/>
        </w:rPr>
        <w:t>**Nə edir:** Sistemdə baş verən hər bir kritik əməliyyatı bloklar şəklində zəncirləyir. Hər bir blok əvvəlki blokun SHA-256 heşini saxlayır.</w:t>
        <w:br/>
        <w:t>Nümunə: Bu jurnalı hər səhifəsinin küncündə əvvəlki səhifənin möhürü olan və vərəqi cırıldıqda və ya mətni qaralandıqda dərhal bəlli olan rəsmi reyestr dəftərinə bənzətmək olar.</w:t>
        <w:br/>
        <w:t>**Necə etdim:** `AuditLog` sinfini qurdum. Hər yeni blok: `hash = SHA-256(index + prevHash + timestamp + canonicalJson(data))` formulası ilə zəncirlənir.</w:t>
        <w:br/>
        <w:t>**Yoxla:** Loq faylından 1-ci bloku açıb daxilindəki dəyişiklik dərəcəsini 0.40-dan 0.05-ə dəyiş və `verifyAuditChain()` işə sal.</w:t>
        <w:br/>
        <w:t>**Gözlənilən nəticə:** Sistem 'Broken Block Index #1' xətası verir və zəncirin qırıldığını elan edir.</w:t>
      </w:r>
    </w:p>
    <w:p>
      <w:pPr>
        <w:keepNext/>
        <w:spacing w:before="160" w:after="40"/>
        <w:jc w:val="center"/>
      </w:pPr>
      <w:r>
        <w:drawing>
          <wp:inline xmlns:a="http://schemas.openxmlformats.org/drawingml/2006/main" xmlns:pic="http://schemas.openxmlformats.org/drawingml/2006/picture">
            <wp:extent cx="5303520" cy="2981774"/>
            <wp:docPr id="11" name="Picture 11"/>
            <wp:cNvGraphicFramePr>
              <a:graphicFrameLocks noChangeAspect="1"/>
            </wp:cNvGraphicFramePr>
            <a:graphic>
              <a:graphicData uri="http://schemas.openxmlformats.org/drawingml/2006/picture">
                <pic:pic>
                  <pic:nvPicPr>
                    <pic:cNvPr id="0" name="10_audit_chain_intact.png"/>
                    <pic:cNvPicPr/>
                  </pic:nvPicPr>
                  <pic:blipFill>
                    <a:blip r:embed="rId20"/>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11. Bütöv və Dəyişdirilməz Zəncirvari Audit Jurnalı — </w:t>
      </w:r>
      <w:r>
        <w:rPr>
          <w:rFonts w:ascii="Calibri" w:hAnsi="Calibri"/>
          <w:i/>
          <w:color w:val="64748B"/>
          <w:sz w:val="19"/>
        </w:rPr>
        <w:t>Bütün blokların bir-birinə riyazi olaraq bağlı olduğunu və loq tamlığının 100% qorunduğunu nümayiş etdirir.</w:t>
      </w:r>
    </w:p>
    <w:p>
      <w:pPr>
        <w:keepNext/>
        <w:spacing w:before="160" w:after="40"/>
        <w:jc w:val="center"/>
      </w:pPr>
      <w:r>
        <w:drawing>
          <wp:inline xmlns:a="http://schemas.openxmlformats.org/drawingml/2006/main" xmlns:pic="http://schemas.openxmlformats.org/drawingml/2006/picture">
            <wp:extent cx="5303520" cy="2981774"/>
            <wp:docPr id="12" name="Picture 12"/>
            <wp:cNvGraphicFramePr>
              <a:graphicFrameLocks noChangeAspect="1"/>
            </wp:cNvGraphicFramePr>
            <a:graphic>
              <a:graphicData uri="http://schemas.openxmlformats.org/drawingml/2006/picture">
                <pic:pic>
                  <pic:nvPicPr>
                    <pic:cNvPr id="0" name="11_audit_chain_tamper_detected.png"/>
                    <pic:cNvPicPr/>
                  </pic:nvPicPr>
                  <pic:blipFill>
                    <a:blip r:embed="rId21"/>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12. Audit Jurnalında Saxtakarlığın Aşkarlanması və Zəncirin Qırılması — </w:t>
      </w:r>
      <w:r>
        <w:rPr>
          <w:rFonts w:ascii="Calibri" w:hAnsi="Calibri"/>
          <w:i/>
          <w:color w:val="64748B"/>
          <w:sz w:val="19"/>
        </w:rPr>
        <w:t>Blok məzmunu dəyişdirildikdə növbəti blokdakı prevHash uyğunsuzluğunun dərhal aşkar edildiyini göstərir.</w:t>
      </w:r>
    </w:p>
    <w:p>
      <w:pPr>
        <w:keepNext/>
        <w:spacing w:before="160" w:after="40"/>
        <w:jc w:val="center"/>
      </w:pPr>
      <w:r>
        <w:drawing>
          <wp:inline xmlns:a="http://schemas.openxmlformats.org/drawingml/2006/main" xmlns:pic="http://schemas.openxmlformats.org/drawingml/2006/picture">
            <wp:extent cx="5303520" cy="2603546"/>
            <wp:docPr id="13" name="Picture 13"/>
            <wp:cNvGraphicFramePr>
              <a:graphicFrameLocks noChangeAspect="1"/>
            </wp:cNvGraphicFramePr>
            <a:graphic>
              <a:graphicData uri="http://schemas.openxmlformats.org/drawingml/2006/picture">
                <pic:pic>
                  <pic:nvPicPr>
                    <pic:cNvPr id="0" name="14_terminal_tamper_exp_audit_chain.png"/>
                    <pic:cNvPicPr/>
                  </pic:nvPicPr>
                  <pic:blipFill>
                    <a:blip r:embed="rId22"/>
                    <a:stretch>
                      <a:fillRect/>
                    </a:stretch>
                  </pic:blipFill>
                  <pic:spPr>
                    <a:xfrm>
                      <a:off x="0" y="0"/>
                      <a:ext cx="5303520" cy="2603546"/>
                    </a:xfrm>
                    <a:prstGeom prst="rect"/>
                  </pic:spPr>
                </pic:pic>
              </a:graphicData>
            </a:graphic>
          </wp:inline>
        </w:drawing>
      </w:r>
    </w:p>
    <w:p>
      <w:pPr>
        <w:spacing w:after="160"/>
        <w:jc w:val="center"/>
      </w:pPr>
      <w:r>
        <w:rPr>
          <w:rFonts w:ascii="Calibri" w:hAnsi="Calibri"/>
          <w:b/>
          <w:color w:val="334155"/>
          <w:sz w:val="19"/>
        </w:rPr>
        <w:t xml:space="preserve">Şəkil 13. Terminal: Audit Loqunda Kriptoqrafik Qırılmanın Təsdiqi — </w:t>
      </w:r>
      <w:r>
        <w:rPr>
          <w:rFonts w:ascii="Calibri" w:hAnsi="Calibri"/>
          <w:i/>
          <w:color w:val="64748B"/>
          <w:sz w:val="19"/>
        </w:rPr>
        <w:t>Eksperiment 3 zamanı prevHash fərqinin tam olaraq hansı sətirdə baş verdiyini təsdiq edən çıxışı əks etdirir.</w:t>
      </w:r>
    </w:p>
    <w:tbl>
      <w:tblPr>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line="276" w:lineRule="auto" w:after="40"/>
            </w:pPr>
            <w:r>
              <w:rPr>
                <w:rFonts w:ascii="Calibri" w:hAnsi="Calibri"/>
                <w:b/>
                <w:color w:val="0E7490"/>
                <w:sz w:val="21"/>
              </w:rPr>
              <w:t>Qısa: nə etdim</w:t>
              <w:br/>
            </w:r>
            <w:r>
              <w:rPr>
                <w:b/>
              </w:rPr>
              <w:t xml:space="preserve">Məqsəd: </w:t>
            </w:r>
            <w:r>
              <w:t>Faylların tamlığını, ehtiyat nüsxələrin toxunulmazlığını və insident qeydlərinin inkarolunmazlığını riyazi olaraq təmin etmək.</w:t>
              <w:br/>
            </w:r>
            <w:r>
              <w:rPr>
                <w:b/>
              </w:rPr>
              <w:t xml:space="preserve">Necə etdim: </w:t>
            </w:r>
            <w:r>
              <w:t>SHA-256, Merkle Tree, AES-256-GCM və Ed25519 alqoritmlərini reallaşdırdım və 3 saxtalaşdırma eksperimenti ilə təsdiqlədim.</w:t>
            </w:r>
          </w:p>
        </w:tc>
      </w:tr>
    </w:tbl>
    <w:p>
      <w:pPr>
        <w:spacing w:after="60"/>
      </w:pPr>
    </w:p>
    <w:p>
      <w:pPr>
        <w:keepNext/>
        <w:spacing w:before="400" w:after="120"/>
      </w:pPr>
      <w:r>
        <w:rPr>
          <w:rFonts w:ascii="Calibri" w:hAnsi="Calibri"/>
          <w:b/>
          <w:color w:val="0F172A"/>
          <w:sz w:val="32"/>
        </w:rPr>
        <w:t>7. Backend Mühərriki, Sürüşən Zaman Pəncərəsi və Canary Tələləri</w:t>
      </w:r>
    </w:p>
    <w:p>
      <w:pPr>
        <w:spacing w:line="276" w:lineRule="auto" w:after="100"/>
      </w:pPr>
      <w:r>
        <w:rPr>
          <w:rFonts w:ascii="Calibri" w:hAnsi="Calibri"/>
          <w:color w:val="1E293B"/>
          <w:sz w:val="22"/>
        </w:rPr>
        <w:t>Backend arxitekturası yüksək performanslı Fastify HTTP çərçivəsində qurulmuşdur. Aşkarlama mühərriki (Detection Engine) faylların dəyişmə intensivliyini izləmək üçün 60 saniyəlik sürüşən zaman pəncərəsi (Sliding Time Window) modelindən istifadə edir.</w:t>
      </w:r>
    </w:p>
    <w:p>
      <w:pPr>
        <w:keepNext/>
        <w:spacing w:before="280" w:after="80"/>
      </w:pPr>
      <w:r>
        <w:rPr>
          <w:rFonts w:ascii="Calibri" w:hAnsi="Calibri"/>
          <w:b/>
          <w:color w:val="1E293B"/>
          <w:sz w:val="26"/>
        </w:rPr>
        <w:t>Dəyişiklik Hədləri və Dinamik Qərarvermə</w:t>
      </w:r>
    </w:p>
    <w:p>
      <w:pPr>
        <w:spacing w:line="276" w:lineRule="auto" w:after="100"/>
      </w:pPr>
      <w:r>
        <w:rPr>
          <w:rFonts w:ascii="Calibri" w:hAnsi="Calibri"/>
          <w:color w:val="1E293B"/>
          <w:sz w:val="22"/>
        </w:rPr>
        <w:t>Sürüşən pəncərə daxilində dəyişiklik dərəcəsi aşağıdakı düsturla hesablanır:</w:t>
        <w:br/>
        <w:t>ChangeRate = (Dəyişmiş Faylların Sayı) / (Ümumi Qorunan Faylların Sayı)</w:t>
        <w:br/>
        <w:br/>
        <w:t>Sistemdə 3 dəqiq vəziyyət dərəcəsi təyin edilmişdir:</w:t>
        <w:br/>
        <w:t>• Normal (ChangeRate &lt; 10%): Təbii istifadəçi fəaliyyəti, heç bir həyəcan siqnalı verilmir.</w:t>
        <w:br/>
        <w:t>• Şübhəli / Suspicious (10% ≤ ChangeRate &lt; 30%): Şübhəli kütləvi dəyişiklik, SOC konsolunda sarı xəbərdarlıq yanır və monitorinq tezliyi artırılır.</w:t>
        <w:br/>
        <w:t>• Ransomware (ChangeRate ≥ 30%): Kritik hücum vəziyyəti, dərhal IAM Write-Freeze aktivləşdirilir və insident sənədi imzalanır.</w:t>
      </w:r>
    </w:p>
    <w:p>
      <w:pPr>
        <w:keepNext/>
        <w:spacing w:before="160" w:after="40"/>
        <w:jc w:val="center"/>
      </w:pPr>
      <w:r>
        <w:drawing>
          <wp:inline xmlns:a="http://schemas.openxmlformats.org/drawingml/2006/main" xmlns:pic="http://schemas.openxmlformats.org/drawingml/2006/picture">
            <wp:extent cx="5303520" cy="2876485"/>
            <wp:docPr id="14" name="Picture 14"/>
            <wp:cNvGraphicFramePr>
              <a:graphicFrameLocks noChangeAspect="1"/>
            </wp:cNvGraphicFramePr>
            <a:graphic>
              <a:graphicData uri="http://schemas.openxmlformats.org/drawingml/2006/picture">
                <pic:pic>
                  <pic:nvPicPr>
                    <pic:cNvPr id="0" name="05_detection_sliding_window_graph.png"/>
                    <pic:cNvPicPr/>
                  </pic:nvPicPr>
                  <pic:blipFill>
                    <a:blip r:embed="rId23"/>
                    <a:stretch>
                      <a:fillRect/>
                    </a:stretch>
                  </pic:blipFill>
                  <pic:spPr>
                    <a:xfrm>
                      <a:off x="0" y="0"/>
                      <a:ext cx="5303520" cy="2876485"/>
                    </a:xfrm>
                    <a:prstGeom prst="rect"/>
                  </pic:spPr>
                </pic:pic>
              </a:graphicData>
            </a:graphic>
          </wp:inline>
        </w:drawing>
      </w:r>
    </w:p>
    <w:p>
      <w:pPr>
        <w:spacing w:after="160"/>
        <w:jc w:val="center"/>
      </w:pPr>
      <w:r>
        <w:rPr>
          <w:rFonts w:ascii="Calibri" w:hAnsi="Calibri"/>
          <w:b/>
          <w:color w:val="334155"/>
          <w:sz w:val="19"/>
        </w:rPr>
        <w:t xml:space="preserve">Şəkil 14. 60 Saniyəlik Sürüşən Zaman Pəncərəsi və Sürət Qrafiki — </w:t>
      </w:r>
      <w:r>
        <w:rPr>
          <w:rFonts w:ascii="Calibri" w:hAnsi="Calibri"/>
          <w:i/>
          <w:color w:val="64748B"/>
          <w:sz w:val="19"/>
        </w:rPr>
        <w:t>Real vaxt rejimində dəyişiklik dərəcəsinin 30% kritik həddə çatmasını və aşkarlanmasını əks etdirir.</w:t>
      </w:r>
    </w:p>
    <w:p>
      <w:pPr>
        <w:keepNext/>
        <w:spacing w:before="280" w:after="80"/>
      </w:pPr>
      <w:r>
        <w:rPr>
          <w:rFonts w:ascii="Calibri" w:hAnsi="Calibri"/>
          <w:b/>
          <w:color w:val="1E293B"/>
          <w:sz w:val="26"/>
        </w:rPr>
        <w:t>Canary Tripwire (Tələ Fayl) Mexanizmi</w:t>
      </w:r>
    </w:p>
    <w:p>
      <w:pPr>
        <w:spacing w:line="276" w:lineRule="auto" w:after="100"/>
      </w:pPr>
      <w:r>
        <w:rPr>
          <w:rFonts w:ascii="Calibri" w:hAnsi="Calibri"/>
          <w:color w:val="1E293B"/>
          <w:sz w:val="22"/>
        </w:rPr>
        <w:t>Bəzi mürəkkəb ransomware növləri həddə düşməmək üçün faylları çox yavaş şifrələyir (Low-and-Slow Attack). Bu növ hücumları zərərsizləşdirmək üçün anbarın strateji qovluqlarına xüsusi cəlbedici ada malik Canary tələ faylları yerləşdirilmişdir (məsələn: `canaries/passwords_backup.docx` və ya `sentinel.canary`). Bu fayllar heç bir qanuni işçi tərəfindən açılmamalı və dəyişdirilməməlidir. Canary faylına edilən hər hansı dəyişiklik və ya silmə cəhdi sürət həddindən asılı olmayaraq 0.6 millisaniyə ərzində dərhal RANSOMWARE hökmünün verilməsinə və sistemin dondurulmasına səbəb olur.</w:t>
      </w:r>
    </w:p>
    <w:p>
      <w:pPr>
        <w:keepNext/>
        <w:spacing w:before="160" w:after="40"/>
        <w:jc w:val="center"/>
      </w:pPr>
      <w:r>
        <w:drawing>
          <wp:inline xmlns:a="http://schemas.openxmlformats.org/drawingml/2006/main" xmlns:pic="http://schemas.openxmlformats.org/drawingml/2006/picture">
            <wp:extent cx="5303520" cy="2981774"/>
            <wp:docPr id="15" name="Picture 15"/>
            <wp:cNvGraphicFramePr>
              <a:graphicFrameLocks noChangeAspect="1"/>
            </wp:cNvGraphicFramePr>
            <a:graphic>
              <a:graphicData uri="http://schemas.openxmlformats.org/drawingml/2006/picture">
                <pic:pic>
                  <pic:nvPicPr>
                    <pic:cNvPr id="0" name="06_canary_tripwire_triggered.png"/>
                    <pic:cNvPicPr/>
                  </pic:nvPicPr>
                  <pic:blipFill>
                    <a:blip r:embed="rId24"/>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15. Canary Tələ Faylı Toxunulduqda Dərhal Hücum Hökmünün Çıxarılması — </w:t>
      </w:r>
      <w:r>
        <w:rPr>
          <w:rFonts w:ascii="Calibri" w:hAnsi="Calibri"/>
          <w:i/>
          <w:color w:val="64748B"/>
          <w:sz w:val="19"/>
        </w:rPr>
        <w:t>Tripwire faylı dəyişdirilən kimi sistemin anında kritik qırmızı rejimə keçdiyini nümayiş etdirir.</w:t>
      </w:r>
    </w:p>
    <w:p>
      <w:pPr>
        <w:keepNext/>
        <w:spacing w:before="280" w:after="80"/>
      </w:pPr>
      <w:r>
        <w:rPr>
          <w:rFonts w:ascii="Calibri" w:hAnsi="Calibri"/>
          <w:b/>
          <w:color w:val="1E293B"/>
          <w:sz w:val="26"/>
        </w:rPr>
        <w:t>İcazəli Hesabların Qorunması (Allowlist Immunity)</w:t>
      </w:r>
    </w:p>
    <w:p>
      <w:pPr>
        <w:spacing w:line="276" w:lineRule="auto" w:after="100"/>
      </w:pPr>
      <w:r>
        <w:rPr>
          <w:rFonts w:ascii="Calibri" w:hAnsi="Calibri"/>
          <w:color w:val="1E293B"/>
          <w:sz w:val="22"/>
        </w:rPr>
        <w:t>Korporativ mühitlərdə bəzi qanuni servislər (məsələn, rəsmi arxivləşdirmə və ya ehtiyat nüsxə skripti) qısa müddətdə yüzlərlə faylı qanuni olaraq dəyişə bilər. Sistemin yalançı həyəcan (False Positive) verməməsi üçün `ALLOWLISTED_ACCOUNTS` mexanizmi tətbiq edilmişdir. Həmin hesablardan gələn kütləvi dəyişikliklər həddi aşsa belə, əgər Canary faylına toxunulmayıbsa, qanuni əməliyyat kimi qəbul edilir və bloklanmır.</w:t>
      </w:r>
    </w:p>
    <w:p>
      <w:pPr>
        <w:keepNext/>
        <w:spacing w:before="160" w:after="40"/>
        <w:jc w:val="center"/>
      </w:pPr>
      <w:r>
        <w:drawing>
          <wp:inline xmlns:a="http://schemas.openxmlformats.org/drawingml/2006/main" xmlns:pic="http://schemas.openxmlformats.org/drawingml/2006/picture">
            <wp:extent cx="5303520" cy="2603546"/>
            <wp:docPr id="16" name="Picture 16"/>
            <wp:cNvGraphicFramePr>
              <a:graphicFrameLocks noChangeAspect="1"/>
            </wp:cNvGraphicFramePr>
            <a:graphic>
              <a:graphicData uri="http://schemas.openxmlformats.org/drawingml/2006/picture">
                <pic:pic>
                  <pic:nvPicPr>
                    <pic:cNvPr id="0" name="23_negative_test_allowlist_bypass.png"/>
                    <pic:cNvPicPr/>
                  </pic:nvPicPr>
                  <pic:blipFill>
                    <a:blip r:embed="rId25"/>
                    <a:stretch>
                      <a:fillRect/>
                    </a:stretch>
                  </pic:blipFill>
                  <pic:spPr>
                    <a:xfrm>
                      <a:off x="0" y="0"/>
                      <a:ext cx="5303520" cy="2603546"/>
                    </a:xfrm>
                    <a:prstGeom prst="rect"/>
                  </pic:spPr>
                </pic:pic>
              </a:graphicData>
            </a:graphic>
          </wp:inline>
        </w:drawing>
      </w:r>
    </w:p>
    <w:p>
      <w:pPr>
        <w:spacing w:after="160"/>
        <w:jc w:val="center"/>
      </w:pPr>
      <w:r>
        <w:rPr>
          <w:rFonts w:ascii="Calibri" w:hAnsi="Calibri"/>
          <w:b/>
          <w:color w:val="334155"/>
          <w:sz w:val="19"/>
        </w:rPr>
        <w:t xml:space="preserve">Şəkil 16. İcazəli Ehtiyat Nüsxə Hesabının Qorunması (FP = 0.0%) — </w:t>
      </w:r>
      <w:r>
        <w:rPr>
          <w:rFonts w:ascii="Calibri" w:hAnsi="Calibri"/>
          <w:i/>
          <w:color w:val="64748B"/>
          <w:sz w:val="19"/>
        </w:rPr>
        <w:t>70% dəyişiklik edən icazəli agentin yalançı həyəcan doğurmadan fəaliyyətini davam etdirdiyini təsdiqləyir.</w:t>
      </w:r>
    </w:p>
    <w:p>
      <w:pPr>
        <w:keepNext/>
        <w:spacing w:before="400" w:after="120"/>
      </w:pPr>
      <w:r>
        <w:rPr>
          <w:rFonts w:ascii="Calibri" w:hAnsi="Calibri"/>
          <w:b/>
          <w:color w:val="0F172A"/>
          <w:sz w:val="32"/>
        </w:rPr>
        <w:t>8. İnformasiya Təhlükəsizliyi Menecment Sistemi (İSMS) və Uyğunluq</w:t>
      </w:r>
    </w:p>
    <w:p>
      <w:pPr>
        <w:spacing w:line="276" w:lineRule="auto" w:after="100"/>
      </w:pPr>
      <w:r>
        <w:rPr>
          <w:rFonts w:ascii="Calibri" w:hAnsi="Calibri"/>
          <w:color w:val="1E293B"/>
          <w:sz w:val="22"/>
        </w:rPr>
        <w:t>İnformasiya Təhlükəsizliyi Menecment Sistemi (İSMS) yalnız proqram kodundan ibarət deyil; o, təşkilatın risklərini idarə edən sistemli və davamlı proseslər toplusudur. CloudRDR çərçivəsində İSMS sistemini 4 sadə və strateji sual üzərində qurdum:</w:t>
        <w:br/>
        <w:t>1. Nəyi qoruyuruq? — Təşkilatın kritik bulud məlumatlarını, ehtiyat nüsxələrini və kriptoqrafik açarlarını (Aktiv Reyestri).</w:t>
        <w:br/>
        <w:t>2. Nə pis ola bilər? — Ransomware hücumu, ehtiyat nüsxənin korlanması, açarların sızması və ya daxili təhdid (Risk Reyestri).</w:t>
        <w:br/>
        <w:t>3. Nə edirik ki, olmasın? — Merkle tamlıq yoxlaması, AES-GCM şifrələmə, IAM dondurulması və karantin bərpası (SoA Nəzarətləri).</w:t>
        <w:br/>
        <w:t>4. Bunu kim və necə edir? — İnsident Cavab Qrupu, rollar və Fəlakətdən Bərpa Planı (BCP/DRP Planı).</w:t>
      </w:r>
    </w:p>
    <w:p>
      <w:pPr>
        <w:keepNext/>
        <w:spacing w:before="280" w:after="80"/>
      </w:pPr>
      <w:r>
        <w:rPr>
          <w:rFonts w:ascii="Calibri" w:hAnsi="Calibri"/>
          <w:b/>
          <w:color w:val="1E293B"/>
          <w:sz w:val="26"/>
        </w:rPr>
        <w:t>8.1. İnformasiya Aktivlərinin Təsnifatı Reyestri</w:t>
      </w:r>
    </w:p>
    <w:p>
      <w:pPr>
        <w:spacing w:line="276" w:lineRule="auto" w:after="100"/>
      </w:pPr>
      <w:r>
        <w:rPr>
          <w:rFonts w:ascii="Calibri" w:hAnsi="Calibri"/>
          <w:color w:val="1E293B"/>
          <w:sz w:val="22"/>
        </w:rPr>
        <w:t>Cədvəl 2. CloudRDR İnformasiya Aktivləri Reyestri və Təsnifatı</w:t>
      </w:r>
    </w:p>
    <w:tbl>
      <w:tblPr>
        <w:tblW w:type="auto" w:w="0"/>
        <w:jc w:val="center"/>
        <w:tblLook w:firstColumn="1" w:firstRow="1" w:lastColumn="0" w:lastRow="0" w:noHBand="0" w:noVBand="1" w:val="04A0"/>
      </w:tblPr>
      <w:tblGrid>
        <w:gridCol w:w="1814"/>
        <w:gridCol w:w="1814"/>
        <w:gridCol w:w="1814"/>
        <w:gridCol w:w="1814"/>
        <w:gridCol w:w="1814"/>
      </w:tblGrid>
      <w:tr>
        <w:tc>
          <w:tcPr>
            <w:tcW w:type="dxa" w:w="1728"/>
            <w:shd w:fill="0F172A"/>
            <w:tcMar>
              <w:top w:w="90" w:type="dxa"/>
              <w:bottom w:w="90" w:type="dxa"/>
              <w:left w:w="100" w:type="dxa"/>
              <w:right w:w="100" w:type="dxa"/>
            </w:tcMar>
          </w:tcPr>
          <w:p>
            <w:pPr>
              <w:jc w:val="center"/>
            </w:pPr>
            <w:r>
              <w:rPr>
                <w:rFonts w:ascii="Calibri" w:hAnsi="Calibri"/>
                <w:b/>
                <w:color w:val="FFFFFF"/>
                <w:sz w:val="19"/>
              </w:rPr>
              <w:t>Aktiv ID</w:t>
            </w:r>
          </w:p>
        </w:tc>
        <w:tc>
          <w:tcPr>
            <w:tcW w:type="dxa" w:w="2592"/>
            <w:shd w:fill="0F172A"/>
            <w:tcMar>
              <w:top w:w="90" w:type="dxa"/>
              <w:bottom w:w="90" w:type="dxa"/>
              <w:left w:w="100" w:type="dxa"/>
              <w:right w:w="100" w:type="dxa"/>
            </w:tcMar>
          </w:tcPr>
          <w:p>
            <w:pPr>
              <w:jc w:val="left"/>
            </w:pPr>
            <w:r>
              <w:rPr>
                <w:rFonts w:ascii="Calibri" w:hAnsi="Calibri"/>
                <w:b/>
                <w:color w:val="FFFFFF"/>
                <w:sz w:val="19"/>
              </w:rPr>
              <w:t>Aktivin Adı və Təsviri</w:t>
            </w:r>
          </w:p>
        </w:tc>
        <w:tc>
          <w:tcPr>
            <w:tcW w:type="dxa" w:w="1440"/>
            <w:shd w:fill="0F172A"/>
            <w:tcMar>
              <w:top w:w="90" w:type="dxa"/>
              <w:bottom w:w="90" w:type="dxa"/>
              <w:left w:w="100" w:type="dxa"/>
              <w:right w:w="100" w:type="dxa"/>
            </w:tcMar>
          </w:tcPr>
          <w:p>
            <w:pPr>
              <w:jc w:val="center"/>
            </w:pPr>
            <w:r>
              <w:rPr>
                <w:rFonts w:ascii="Calibri" w:hAnsi="Calibri"/>
                <w:b/>
                <w:color w:val="FFFFFF"/>
                <w:sz w:val="19"/>
              </w:rPr>
              <w:t>Məxfilik</w:t>
            </w:r>
          </w:p>
        </w:tc>
        <w:tc>
          <w:tcPr>
            <w:tcW w:type="dxa" w:w="1440"/>
            <w:shd w:fill="0F172A"/>
            <w:tcMar>
              <w:top w:w="90" w:type="dxa"/>
              <w:bottom w:w="90" w:type="dxa"/>
              <w:left w:w="100" w:type="dxa"/>
              <w:right w:w="100" w:type="dxa"/>
            </w:tcMar>
          </w:tcPr>
          <w:p>
            <w:pPr>
              <w:jc w:val="center"/>
            </w:pPr>
            <w:r>
              <w:rPr>
                <w:rFonts w:ascii="Calibri" w:hAnsi="Calibri"/>
                <w:b/>
                <w:color w:val="FFFFFF"/>
                <w:sz w:val="19"/>
              </w:rPr>
              <w:t>Tamlıq</w:t>
            </w:r>
          </w:p>
        </w:tc>
        <w:tc>
          <w:tcPr>
            <w:tcW w:type="dxa" w:w="1872"/>
            <w:shd w:fill="0F172A"/>
            <w:tcMar>
              <w:top w:w="90" w:type="dxa"/>
              <w:bottom w:w="90" w:type="dxa"/>
              <w:left w:w="100" w:type="dxa"/>
              <w:right w:w="100" w:type="dxa"/>
            </w:tcMar>
          </w:tcPr>
          <w:p>
            <w:pPr>
              <w:jc w:val="center"/>
            </w:pPr>
            <w:r>
              <w:rPr>
                <w:rFonts w:ascii="Calibri" w:hAnsi="Calibri"/>
                <w:b/>
                <w:color w:val="FFFFFF"/>
                <w:sz w:val="19"/>
              </w:rPr>
              <w:t>Əlçatanlıq</w:t>
            </w:r>
          </w:p>
        </w:tc>
      </w:tr>
      <w:tr>
        <w:tc>
          <w:tcPr>
            <w:tcW w:type="dxa" w:w="1728"/>
            <w:shd w:fill="FFFFFF"/>
            <w:tcMar>
              <w:top w:w="70" w:type="dxa"/>
              <w:bottom w:w="70" w:type="dxa"/>
              <w:left w:w="100" w:type="dxa"/>
              <w:right w:w="100" w:type="dxa"/>
            </w:tcMar>
          </w:tcPr>
          <w:p>
            <w:pPr>
              <w:jc w:val="center"/>
            </w:pPr>
            <w:r>
              <w:rPr>
                <w:rFonts w:ascii="Calibri" w:hAnsi="Calibri"/>
                <w:color w:val="1E293B"/>
                <w:sz w:val="18"/>
              </w:rPr>
              <w:t>AST-01</w:t>
            </w:r>
          </w:p>
        </w:tc>
        <w:tc>
          <w:tcPr>
            <w:tcW w:type="dxa" w:w="2592"/>
            <w:shd w:fill="FFFFFF"/>
            <w:tcMar>
              <w:top w:w="70" w:type="dxa"/>
              <w:bottom w:w="70" w:type="dxa"/>
              <w:left w:w="100" w:type="dxa"/>
              <w:right w:w="100" w:type="dxa"/>
            </w:tcMar>
          </w:tcPr>
          <w:p>
            <w:pPr>
              <w:jc w:val="left"/>
            </w:pPr>
            <w:r>
              <w:rPr>
                <w:rFonts w:ascii="Calibri" w:hAnsi="Calibri"/>
                <w:color w:val="1E293B"/>
                <w:sz w:val="18"/>
              </w:rPr>
              <w:t>Bulud Saxlanc Faylları (Müştəri və Maliyyə sənədləri)</w:t>
            </w:r>
          </w:p>
        </w:tc>
        <w:tc>
          <w:tcPr>
            <w:tcW w:type="dxa" w:w="1440"/>
            <w:shd w:fill="FFFFFF"/>
            <w:tcMar>
              <w:top w:w="70" w:type="dxa"/>
              <w:bottom w:w="70" w:type="dxa"/>
              <w:left w:w="100" w:type="dxa"/>
              <w:right w:w="100" w:type="dxa"/>
            </w:tcMar>
          </w:tcPr>
          <w:p>
            <w:pPr>
              <w:jc w:val="center"/>
            </w:pPr>
            <w:r>
              <w:rPr>
                <w:rFonts w:ascii="Calibri" w:hAnsi="Calibri"/>
                <w:color w:val="1E293B"/>
                <w:sz w:val="18"/>
              </w:rPr>
              <w:t>Məxfi (C3)</w:t>
            </w:r>
          </w:p>
        </w:tc>
        <w:tc>
          <w:tcPr>
            <w:tcW w:type="dxa" w:w="1440"/>
            <w:shd w:fill="FFFFFF"/>
            <w:tcMar>
              <w:top w:w="70" w:type="dxa"/>
              <w:bottom w:w="70" w:type="dxa"/>
              <w:left w:w="100" w:type="dxa"/>
              <w:right w:w="100" w:type="dxa"/>
            </w:tcMar>
          </w:tcPr>
          <w:p>
            <w:pPr>
              <w:jc w:val="center"/>
            </w:pPr>
            <w:r>
              <w:rPr>
                <w:rFonts w:ascii="Calibri" w:hAnsi="Calibri"/>
                <w:color w:val="1E293B"/>
                <w:sz w:val="18"/>
              </w:rPr>
              <w:t>Kritik (I3)</w:t>
            </w:r>
          </w:p>
        </w:tc>
        <w:tc>
          <w:tcPr>
            <w:tcW w:type="dxa" w:w="1872"/>
            <w:shd w:fill="FFFFFF"/>
            <w:tcMar>
              <w:top w:w="70" w:type="dxa"/>
              <w:bottom w:w="70" w:type="dxa"/>
              <w:left w:w="100" w:type="dxa"/>
              <w:right w:w="100" w:type="dxa"/>
            </w:tcMar>
          </w:tcPr>
          <w:p>
            <w:pPr>
              <w:jc w:val="center"/>
            </w:pPr>
            <w:r>
              <w:rPr>
                <w:rFonts w:ascii="Calibri" w:hAnsi="Calibri"/>
                <w:color w:val="1E293B"/>
                <w:sz w:val="18"/>
              </w:rPr>
              <w:t>Yüksək (A2)</w:t>
            </w:r>
          </w:p>
        </w:tc>
      </w:tr>
      <w:tr>
        <w:tc>
          <w:tcPr>
            <w:tcW w:type="dxa" w:w="1728"/>
            <w:shd w:fill="F8FAFC"/>
            <w:tcMar>
              <w:top w:w="70" w:type="dxa"/>
              <w:bottom w:w="70" w:type="dxa"/>
              <w:left w:w="100" w:type="dxa"/>
              <w:right w:w="100" w:type="dxa"/>
            </w:tcMar>
          </w:tcPr>
          <w:p>
            <w:pPr>
              <w:jc w:val="center"/>
            </w:pPr>
            <w:r>
              <w:rPr>
                <w:rFonts w:ascii="Calibri" w:hAnsi="Calibri"/>
                <w:color w:val="1E293B"/>
                <w:sz w:val="18"/>
              </w:rPr>
              <w:t>AST-02</w:t>
            </w:r>
          </w:p>
        </w:tc>
        <w:tc>
          <w:tcPr>
            <w:tcW w:type="dxa" w:w="2592"/>
            <w:shd w:fill="F8FAFC"/>
            <w:tcMar>
              <w:top w:w="70" w:type="dxa"/>
              <w:bottom w:w="70" w:type="dxa"/>
              <w:left w:w="100" w:type="dxa"/>
              <w:right w:w="100" w:type="dxa"/>
            </w:tcMar>
          </w:tcPr>
          <w:p>
            <w:pPr>
              <w:jc w:val="left"/>
            </w:pPr>
            <w:r>
              <w:rPr>
                <w:rFonts w:ascii="Calibri" w:hAnsi="Calibri"/>
                <w:color w:val="1E293B"/>
                <w:sz w:val="18"/>
              </w:rPr>
              <w:t>AES-256 Ehtiyat Nüsxələri (Cold Backups)</w:t>
            </w:r>
          </w:p>
        </w:tc>
        <w:tc>
          <w:tcPr>
            <w:tcW w:type="dxa" w:w="1440"/>
            <w:shd w:fill="F8FAFC"/>
            <w:tcMar>
              <w:top w:w="70" w:type="dxa"/>
              <w:bottom w:w="70" w:type="dxa"/>
              <w:left w:w="100" w:type="dxa"/>
              <w:right w:w="100" w:type="dxa"/>
            </w:tcMar>
          </w:tcPr>
          <w:p>
            <w:pPr>
              <w:jc w:val="center"/>
            </w:pPr>
            <w:r>
              <w:rPr>
                <w:rFonts w:ascii="Calibri" w:hAnsi="Calibri"/>
                <w:color w:val="1E293B"/>
                <w:sz w:val="18"/>
              </w:rPr>
              <w:t>Məxfi (C3)</w:t>
            </w:r>
          </w:p>
        </w:tc>
        <w:tc>
          <w:tcPr>
            <w:tcW w:type="dxa" w:w="1440"/>
            <w:shd w:fill="F8FAFC"/>
            <w:tcMar>
              <w:top w:w="70" w:type="dxa"/>
              <w:bottom w:w="70" w:type="dxa"/>
              <w:left w:w="100" w:type="dxa"/>
              <w:right w:w="100" w:type="dxa"/>
            </w:tcMar>
          </w:tcPr>
          <w:p>
            <w:pPr>
              <w:jc w:val="center"/>
            </w:pPr>
            <w:r>
              <w:rPr>
                <w:rFonts w:ascii="Calibri" w:hAnsi="Calibri"/>
                <w:color w:val="1E293B"/>
                <w:sz w:val="18"/>
              </w:rPr>
              <w:t>Kritik (I3)</w:t>
            </w:r>
          </w:p>
        </w:tc>
        <w:tc>
          <w:tcPr>
            <w:tcW w:type="dxa" w:w="1872"/>
            <w:shd w:fill="F8FAFC"/>
            <w:tcMar>
              <w:top w:w="70" w:type="dxa"/>
              <w:bottom w:w="70" w:type="dxa"/>
              <w:left w:w="100" w:type="dxa"/>
              <w:right w:w="100" w:type="dxa"/>
            </w:tcMar>
          </w:tcPr>
          <w:p>
            <w:pPr>
              <w:jc w:val="center"/>
            </w:pPr>
            <w:r>
              <w:rPr>
                <w:rFonts w:ascii="Calibri" w:hAnsi="Calibri"/>
                <w:color w:val="1E293B"/>
                <w:sz w:val="18"/>
              </w:rPr>
              <w:t>Kritik (A3)</w:t>
            </w:r>
          </w:p>
        </w:tc>
      </w:tr>
      <w:tr>
        <w:tc>
          <w:tcPr>
            <w:tcW w:type="dxa" w:w="1728"/>
            <w:shd w:fill="FFFFFF"/>
            <w:tcMar>
              <w:top w:w="70" w:type="dxa"/>
              <w:bottom w:w="70" w:type="dxa"/>
              <w:left w:w="100" w:type="dxa"/>
              <w:right w:w="100" w:type="dxa"/>
            </w:tcMar>
          </w:tcPr>
          <w:p>
            <w:pPr>
              <w:jc w:val="center"/>
            </w:pPr>
            <w:r>
              <w:rPr>
                <w:rFonts w:ascii="Calibri" w:hAnsi="Calibri"/>
                <w:color w:val="1E293B"/>
                <w:sz w:val="18"/>
              </w:rPr>
              <w:t>AST-03</w:t>
            </w:r>
          </w:p>
        </w:tc>
        <w:tc>
          <w:tcPr>
            <w:tcW w:type="dxa" w:w="2592"/>
            <w:shd w:fill="FFFFFF"/>
            <w:tcMar>
              <w:top w:w="70" w:type="dxa"/>
              <w:bottom w:w="70" w:type="dxa"/>
              <w:left w:w="100" w:type="dxa"/>
              <w:right w:w="100" w:type="dxa"/>
            </w:tcMar>
          </w:tcPr>
          <w:p>
            <w:pPr>
              <w:jc w:val="left"/>
            </w:pPr>
            <w:r>
              <w:rPr>
                <w:rFonts w:ascii="Calibri" w:hAnsi="Calibri"/>
                <w:color w:val="1E293B"/>
                <w:sz w:val="18"/>
              </w:rPr>
              <w:t>Kriptoqrafik Açarlar (Ed25519 &amp; AES Master Key)</w:t>
            </w:r>
          </w:p>
        </w:tc>
        <w:tc>
          <w:tcPr>
            <w:tcW w:type="dxa" w:w="1440"/>
            <w:shd w:fill="FFFFFF"/>
            <w:tcMar>
              <w:top w:w="70" w:type="dxa"/>
              <w:bottom w:w="70" w:type="dxa"/>
              <w:left w:w="100" w:type="dxa"/>
              <w:right w:w="100" w:type="dxa"/>
            </w:tcMar>
          </w:tcPr>
          <w:p>
            <w:pPr>
              <w:jc w:val="center"/>
            </w:pPr>
            <w:r>
              <w:rPr>
                <w:rFonts w:ascii="Calibri" w:hAnsi="Calibri"/>
                <w:color w:val="1E293B"/>
                <w:sz w:val="18"/>
              </w:rPr>
              <w:t>Çox Məxfi (C4)</w:t>
            </w:r>
          </w:p>
        </w:tc>
        <w:tc>
          <w:tcPr>
            <w:tcW w:type="dxa" w:w="1440"/>
            <w:shd w:fill="FFFFFF"/>
            <w:tcMar>
              <w:top w:w="70" w:type="dxa"/>
              <w:bottom w:w="70" w:type="dxa"/>
              <w:left w:w="100" w:type="dxa"/>
              <w:right w:w="100" w:type="dxa"/>
            </w:tcMar>
          </w:tcPr>
          <w:p>
            <w:pPr>
              <w:jc w:val="center"/>
            </w:pPr>
            <w:r>
              <w:rPr>
                <w:rFonts w:ascii="Calibri" w:hAnsi="Calibri"/>
                <w:color w:val="1E293B"/>
                <w:sz w:val="18"/>
              </w:rPr>
              <w:t>Kritik (I3)</w:t>
            </w:r>
          </w:p>
        </w:tc>
        <w:tc>
          <w:tcPr>
            <w:tcW w:type="dxa" w:w="1872"/>
            <w:shd w:fill="FFFFFF"/>
            <w:tcMar>
              <w:top w:w="70" w:type="dxa"/>
              <w:bottom w:w="70" w:type="dxa"/>
              <w:left w:w="100" w:type="dxa"/>
              <w:right w:w="100" w:type="dxa"/>
            </w:tcMar>
          </w:tcPr>
          <w:p>
            <w:pPr>
              <w:jc w:val="center"/>
            </w:pPr>
            <w:r>
              <w:rPr>
                <w:rFonts w:ascii="Calibri" w:hAnsi="Calibri"/>
                <w:color w:val="1E293B"/>
                <w:sz w:val="18"/>
              </w:rPr>
              <w:t>Kritik (A3)</w:t>
            </w:r>
          </w:p>
        </w:tc>
      </w:tr>
      <w:tr>
        <w:tc>
          <w:tcPr>
            <w:tcW w:type="dxa" w:w="1728"/>
            <w:shd w:fill="F8FAFC"/>
            <w:tcMar>
              <w:top w:w="70" w:type="dxa"/>
              <w:bottom w:w="70" w:type="dxa"/>
              <w:left w:w="100" w:type="dxa"/>
              <w:right w:w="100" w:type="dxa"/>
            </w:tcMar>
          </w:tcPr>
          <w:p>
            <w:pPr>
              <w:jc w:val="center"/>
            </w:pPr>
            <w:r>
              <w:rPr>
                <w:rFonts w:ascii="Calibri" w:hAnsi="Calibri"/>
                <w:color w:val="1E293B"/>
                <w:sz w:val="18"/>
              </w:rPr>
              <w:t>AST-04</w:t>
            </w:r>
          </w:p>
        </w:tc>
        <w:tc>
          <w:tcPr>
            <w:tcW w:type="dxa" w:w="2592"/>
            <w:shd w:fill="F8FAFC"/>
            <w:tcMar>
              <w:top w:w="70" w:type="dxa"/>
              <w:bottom w:w="70" w:type="dxa"/>
              <w:left w:w="100" w:type="dxa"/>
              <w:right w:w="100" w:type="dxa"/>
            </w:tcMar>
          </w:tcPr>
          <w:p>
            <w:pPr>
              <w:jc w:val="left"/>
            </w:pPr>
            <w:r>
              <w:rPr>
                <w:rFonts w:ascii="Calibri" w:hAnsi="Calibri"/>
                <w:color w:val="1E293B"/>
                <w:sz w:val="18"/>
              </w:rPr>
              <w:t>Zəncirvari Audit Jurnalı (Forensic Audit Logs)</w:t>
            </w:r>
          </w:p>
        </w:tc>
        <w:tc>
          <w:tcPr>
            <w:tcW w:type="dxa" w:w="1440"/>
            <w:shd w:fill="F8FAFC"/>
            <w:tcMar>
              <w:top w:w="70" w:type="dxa"/>
              <w:bottom w:w="70" w:type="dxa"/>
              <w:left w:w="100" w:type="dxa"/>
              <w:right w:w="100" w:type="dxa"/>
            </w:tcMar>
          </w:tcPr>
          <w:p>
            <w:pPr>
              <w:jc w:val="center"/>
            </w:pPr>
            <w:r>
              <w:rPr>
                <w:rFonts w:ascii="Calibri" w:hAnsi="Calibri"/>
                <w:color w:val="1E293B"/>
                <w:sz w:val="18"/>
              </w:rPr>
              <w:t>Daxili (C2)</w:t>
            </w:r>
          </w:p>
        </w:tc>
        <w:tc>
          <w:tcPr>
            <w:tcW w:type="dxa" w:w="1440"/>
            <w:shd w:fill="F8FAFC"/>
            <w:tcMar>
              <w:top w:w="70" w:type="dxa"/>
              <w:bottom w:w="70" w:type="dxa"/>
              <w:left w:w="100" w:type="dxa"/>
              <w:right w:w="100" w:type="dxa"/>
            </w:tcMar>
          </w:tcPr>
          <w:p>
            <w:pPr>
              <w:jc w:val="center"/>
            </w:pPr>
            <w:r>
              <w:rPr>
                <w:rFonts w:ascii="Calibri" w:hAnsi="Calibri"/>
                <w:color w:val="1E293B"/>
                <w:sz w:val="18"/>
              </w:rPr>
              <w:t>Kritik (I3)</w:t>
            </w:r>
          </w:p>
        </w:tc>
        <w:tc>
          <w:tcPr>
            <w:tcW w:type="dxa" w:w="1872"/>
            <w:shd w:fill="F8FAFC"/>
            <w:tcMar>
              <w:top w:w="70" w:type="dxa"/>
              <w:bottom w:w="70" w:type="dxa"/>
              <w:left w:w="100" w:type="dxa"/>
              <w:right w:w="100" w:type="dxa"/>
            </w:tcMar>
          </w:tcPr>
          <w:p>
            <w:pPr>
              <w:jc w:val="center"/>
            </w:pPr>
            <w:r>
              <w:rPr>
                <w:rFonts w:ascii="Calibri" w:hAnsi="Calibri"/>
                <w:color w:val="1E293B"/>
                <w:sz w:val="18"/>
              </w:rPr>
              <w:t>Orta (A2)</w:t>
            </w:r>
          </w:p>
        </w:tc>
      </w:tr>
      <w:tr>
        <w:tc>
          <w:tcPr>
            <w:tcW w:type="dxa" w:w="1728"/>
            <w:shd w:fill="FFFFFF"/>
            <w:tcMar>
              <w:top w:w="70" w:type="dxa"/>
              <w:bottom w:w="70" w:type="dxa"/>
              <w:left w:w="100" w:type="dxa"/>
              <w:right w:w="100" w:type="dxa"/>
            </w:tcMar>
          </w:tcPr>
          <w:p>
            <w:pPr>
              <w:jc w:val="center"/>
            </w:pPr>
            <w:r>
              <w:rPr>
                <w:rFonts w:ascii="Calibri" w:hAnsi="Calibri"/>
                <w:color w:val="1E293B"/>
                <w:sz w:val="18"/>
              </w:rPr>
              <w:t>AST-05</w:t>
            </w:r>
          </w:p>
        </w:tc>
        <w:tc>
          <w:tcPr>
            <w:tcW w:type="dxa" w:w="2592"/>
            <w:shd w:fill="FFFFFF"/>
            <w:tcMar>
              <w:top w:w="70" w:type="dxa"/>
              <w:bottom w:w="70" w:type="dxa"/>
              <w:left w:w="100" w:type="dxa"/>
              <w:right w:w="100" w:type="dxa"/>
            </w:tcMar>
          </w:tcPr>
          <w:p>
            <w:pPr>
              <w:jc w:val="left"/>
            </w:pPr>
            <w:r>
              <w:rPr>
                <w:rFonts w:ascii="Calibri" w:hAnsi="Calibri"/>
                <w:color w:val="1E293B"/>
                <w:sz w:val="18"/>
              </w:rPr>
              <w:t>SOC İdarəetmə Paneli və Monitor Agent</w:t>
            </w:r>
          </w:p>
        </w:tc>
        <w:tc>
          <w:tcPr>
            <w:tcW w:type="dxa" w:w="1440"/>
            <w:shd w:fill="FFFFFF"/>
            <w:tcMar>
              <w:top w:w="70" w:type="dxa"/>
              <w:bottom w:w="70" w:type="dxa"/>
              <w:left w:w="100" w:type="dxa"/>
              <w:right w:w="100" w:type="dxa"/>
            </w:tcMar>
          </w:tcPr>
          <w:p>
            <w:pPr>
              <w:jc w:val="center"/>
            </w:pPr>
            <w:r>
              <w:rPr>
                <w:rFonts w:ascii="Calibri" w:hAnsi="Calibri"/>
                <w:color w:val="1E293B"/>
                <w:sz w:val="18"/>
              </w:rPr>
              <w:t>Daxili (C2)</w:t>
            </w:r>
          </w:p>
        </w:tc>
        <w:tc>
          <w:tcPr>
            <w:tcW w:type="dxa" w:w="1440"/>
            <w:shd w:fill="FFFFFF"/>
            <w:tcMar>
              <w:top w:w="70" w:type="dxa"/>
              <w:bottom w:w="70" w:type="dxa"/>
              <w:left w:w="100" w:type="dxa"/>
              <w:right w:w="100" w:type="dxa"/>
            </w:tcMar>
          </w:tcPr>
          <w:p>
            <w:pPr>
              <w:jc w:val="center"/>
            </w:pPr>
            <w:r>
              <w:rPr>
                <w:rFonts w:ascii="Calibri" w:hAnsi="Calibri"/>
                <w:color w:val="1E293B"/>
                <w:sz w:val="18"/>
              </w:rPr>
              <w:t>Yüksək (I2)</w:t>
            </w:r>
          </w:p>
        </w:tc>
        <w:tc>
          <w:tcPr>
            <w:tcW w:type="dxa" w:w="1872"/>
            <w:shd w:fill="FFFFFF"/>
            <w:tcMar>
              <w:top w:w="70" w:type="dxa"/>
              <w:bottom w:w="70" w:type="dxa"/>
              <w:left w:w="100" w:type="dxa"/>
              <w:right w:w="100" w:type="dxa"/>
            </w:tcMar>
          </w:tcPr>
          <w:p>
            <w:pPr>
              <w:jc w:val="center"/>
            </w:pPr>
            <w:r>
              <w:rPr>
                <w:rFonts w:ascii="Calibri" w:hAnsi="Calibri"/>
                <w:color w:val="1E293B"/>
                <w:sz w:val="18"/>
              </w:rPr>
              <w:t>Yüksək (A2)</w:t>
            </w:r>
          </w:p>
        </w:tc>
      </w:tr>
    </w:tbl>
    <w:p>
      <w:pPr>
        <w:spacing w:after="80"/>
      </w:pPr>
    </w:p>
    <w:p>
      <w:pPr>
        <w:keepNext/>
        <w:spacing w:before="280" w:after="80"/>
      </w:pPr>
      <w:r>
        <w:rPr>
          <w:rFonts w:ascii="Calibri" w:hAnsi="Calibri"/>
          <w:b/>
          <w:color w:val="1E293B"/>
          <w:sz w:val="26"/>
        </w:rPr>
        <w:t>8.2. Risk Reyestri və Təsir Analizi</w:t>
      </w:r>
    </w:p>
    <w:p>
      <w:pPr>
        <w:spacing w:line="276" w:lineRule="auto" w:after="100"/>
      </w:pPr>
      <w:r>
        <w:rPr>
          <w:rFonts w:ascii="Calibri" w:hAnsi="Calibri"/>
          <w:color w:val="1E293B"/>
          <w:sz w:val="22"/>
        </w:rPr>
        <w:t>Cədvəl 3. CloudRDR Risk Reyestri və Nəzarət Tədbirləri</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152"/>
            <w:shd w:fill="0F172A"/>
            <w:tcMar>
              <w:top w:w="90" w:type="dxa"/>
              <w:bottom w:w="90" w:type="dxa"/>
              <w:left w:w="100" w:type="dxa"/>
              <w:right w:w="100" w:type="dxa"/>
            </w:tcMar>
          </w:tcPr>
          <w:p>
            <w:pPr>
              <w:jc w:val="center"/>
            </w:pPr>
            <w:r>
              <w:rPr>
                <w:rFonts w:ascii="Calibri" w:hAnsi="Calibri"/>
                <w:b/>
                <w:color w:val="FFFFFF"/>
                <w:sz w:val="19"/>
              </w:rPr>
              <w:t>Risk ID</w:t>
            </w:r>
          </w:p>
        </w:tc>
        <w:tc>
          <w:tcPr>
            <w:tcW w:type="dxa" w:w="2592"/>
            <w:shd w:fill="0F172A"/>
            <w:tcMar>
              <w:top w:w="90" w:type="dxa"/>
              <w:bottom w:w="90" w:type="dxa"/>
              <w:left w:w="100" w:type="dxa"/>
              <w:right w:w="100" w:type="dxa"/>
            </w:tcMar>
          </w:tcPr>
          <w:p>
            <w:pPr>
              <w:jc w:val="left"/>
            </w:pPr>
            <w:r>
              <w:rPr>
                <w:rFonts w:ascii="Calibri" w:hAnsi="Calibri"/>
                <w:b/>
                <w:color w:val="FFFFFF"/>
                <w:sz w:val="19"/>
              </w:rPr>
              <w:t>Təhlükə və Risk Ssenarisi</w:t>
            </w:r>
          </w:p>
        </w:tc>
        <w:tc>
          <w:tcPr>
            <w:tcW w:type="dxa" w:w="1008"/>
            <w:shd w:fill="0F172A"/>
            <w:tcMar>
              <w:top w:w="90" w:type="dxa"/>
              <w:bottom w:w="90" w:type="dxa"/>
              <w:left w:w="100" w:type="dxa"/>
              <w:right w:w="100" w:type="dxa"/>
            </w:tcMar>
          </w:tcPr>
          <w:p>
            <w:pPr>
              <w:jc w:val="center"/>
            </w:pPr>
            <w:r>
              <w:rPr>
                <w:rFonts w:ascii="Calibri" w:hAnsi="Calibri"/>
                <w:b/>
                <w:color w:val="FFFFFF"/>
                <w:sz w:val="19"/>
              </w:rPr>
              <w:t>Ehtimal</w:t>
            </w:r>
          </w:p>
        </w:tc>
        <w:tc>
          <w:tcPr>
            <w:tcW w:type="dxa" w:w="1008"/>
            <w:shd w:fill="0F172A"/>
            <w:tcMar>
              <w:top w:w="90" w:type="dxa"/>
              <w:bottom w:w="90" w:type="dxa"/>
              <w:left w:w="100" w:type="dxa"/>
              <w:right w:w="100" w:type="dxa"/>
            </w:tcMar>
          </w:tcPr>
          <w:p>
            <w:pPr>
              <w:jc w:val="center"/>
            </w:pPr>
            <w:r>
              <w:rPr>
                <w:rFonts w:ascii="Calibri" w:hAnsi="Calibri"/>
                <w:b/>
                <w:color w:val="FFFFFF"/>
                <w:sz w:val="19"/>
              </w:rPr>
              <w:t>Təsir</w:t>
            </w:r>
          </w:p>
        </w:tc>
        <w:tc>
          <w:tcPr>
            <w:tcW w:type="dxa" w:w="1152"/>
            <w:shd w:fill="0F172A"/>
            <w:tcMar>
              <w:top w:w="90" w:type="dxa"/>
              <w:bottom w:w="90" w:type="dxa"/>
              <w:left w:w="100" w:type="dxa"/>
              <w:right w:w="100" w:type="dxa"/>
            </w:tcMar>
          </w:tcPr>
          <w:p>
            <w:pPr>
              <w:jc w:val="center"/>
            </w:pPr>
            <w:r>
              <w:rPr>
                <w:rFonts w:ascii="Calibri" w:hAnsi="Calibri"/>
                <w:b/>
                <w:color w:val="FFFFFF"/>
                <w:sz w:val="19"/>
              </w:rPr>
              <w:t>Səviyyə</w:t>
            </w:r>
          </w:p>
        </w:tc>
        <w:tc>
          <w:tcPr>
            <w:tcW w:type="dxa" w:w="2160"/>
            <w:shd w:fill="0F172A"/>
            <w:tcMar>
              <w:top w:w="90" w:type="dxa"/>
              <w:bottom w:w="90" w:type="dxa"/>
              <w:left w:w="100" w:type="dxa"/>
              <w:right w:w="100" w:type="dxa"/>
            </w:tcMar>
          </w:tcPr>
          <w:p>
            <w:pPr>
              <w:jc w:val="left"/>
            </w:pPr>
            <w:r>
              <w:rPr>
                <w:rFonts w:ascii="Calibri" w:hAnsi="Calibri"/>
                <w:b/>
                <w:color w:val="FFFFFF"/>
                <w:sz w:val="19"/>
              </w:rPr>
              <w:t>Tətbiq Olunan Nəzarət</w:t>
            </w:r>
          </w:p>
        </w:tc>
      </w:tr>
      <w:tr>
        <w:tc>
          <w:tcPr>
            <w:tcW w:type="dxa" w:w="1152"/>
            <w:shd w:fill="FFFFFF"/>
            <w:tcMar>
              <w:top w:w="70" w:type="dxa"/>
              <w:bottom w:w="70" w:type="dxa"/>
              <w:left w:w="100" w:type="dxa"/>
              <w:right w:w="100" w:type="dxa"/>
            </w:tcMar>
          </w:tcPr>
          <w:p>
            <w:pPr>
              <w:jc w:val="center"/>
            </w:pPr>
            <w:r>
              <w:rPr>
                <w:rFonts w:ascii="Calibri" w:hAnsi="Calibri"/>
                <w:color w:val="1E293B"/>
                <w:sz w:val="18"/>
              </w:rPr>
              <w:t>RSK-01</w:t>
            </w:r>
          </w:p>
        </w:tc>
        <w:tc>
          <w:tcPr>
            <w:tcW w:type="dxa" w:w="2592"/>
            <w:shd w:fill="FFFFFF"/>
            <w:tcMar>
              <w:top w:w="70" w:type="dxa"/>
              <w:bottom w:w="70" w:type="dxa"/>
              <w:left w:w="100" w:type="dxa"/>
              <w:right w:w="100" w:type="dxa"/>
            </w:tcMar>
          </w:tcPr>
          <w:p>
            <w:pPr>
              <w:jc w:val="left"/>
            </w:pPr>
            <w:r>
              <w:rPr>
                <w:rFonts w:ascii="Calibri" w:hAnsi="Calibri"/>
                <w:color w:val="1E293B"/>
                <w:sz w:val="18"/>
              </w:rPr>
              <w:t>Bulud anbarındakı faylların ransomware tərəfindən kütləvi şifrələnməsi</w:t>
            </w:r>
          </w:p>
        </w:tc>
        <w:tc>
          <w:tcPr>
            <w:tcW w:type="dxa" w:w="1008"/>
            <w:shd w:fill="FFFFFF"/>
            <w:tcMar>
              <w:top w:w="70" w:type="dxa"/>
              <w:bottom w:w="70" w:type="dxa"/>
              <w:left w:w="100" w:type="dxa"/>
              <w:right w:w="100" w:type="dxa"/>
            </w:tcMar>
          </w:tcPr>
          <w:p>
            <w:pPr>
              <w:jc w:val="center"/>
            </w:pPr>
            <w:r>
              <w:rPr>
                <w:rFonts w:ascii="Calibri" w:hAnsi="Calibri"/>
                <w:color w:val="1E293B"/>
                <w:sz w:val="18"/>
              </w:rPr>
              <w:t>Yüksək (4)</w:t>
            </w:r>
          </w:p>
        </w:tc>
        <w:tc>
          <w:tcPr>
            <w:tcW w:type="dxa" w:w="1008"/>
            <w:shd w:fill="FFFFFF"/>
            <w:tcMar>
              <w:top w:w="70" w:type="dxa"/>
              <w:bottom w:w="70" w:type="dxa"/>
              <w:left w:w="100" w:type="dxa"/>
              <w:right w:w="100" w:type="dxa"/>
            </w:tcMar>
          </w:tcPr>
          <w:p>
            <w:pPr>
              <w:jc w:val="center"/>
            </w:pPr>
            <w:r>
              <w:rPr>
                <w:rFonts w:ascii="Calibri" w:hAnsi="Calibri"/>
                <w:color w:val="1E293B"/>
                <w:sz w:val="18"/>
              </w:rPr>
              <w:t>Fəlakətli (5)</w:t>
            </w:r>
          </w:p>
        </w:tc>
        <w:tc>
          <w:tcPr>
            <w:tcW w:type="dxa" w:w="1152"/>
            <w:shd w:fill="FFFFFF"/>
            <w:tcMar>
              <w:top w:w="70" w:type="dxa"/>
              <w:bottom w:w="70" w:type="dxa"/>
              <w:left w:w="100" w:type="dxa"/>
              <w:right w:w="100" w:type="dxa"/>
            </w:tcMar>
          </w:tcPr>
          <w:p>
            <w:pPr>
              <w:jc w:val="center"/>
            </w:pPr>
            <w:r>
              <w:rPr>
                <w:rFonts w:ascii="Calibri" w:hAnsi="Calibri"/>
                <w:color w:val="1E293B"/>
                <w:sz w:val="18"/>
              </w:rPr>
              <w:t>KRİTİK (20)</w:t>
            </w:r>
          </w:p>
        </w:tc>
        <w:tc>
          <w:tcPr>
            <w:tcW w:type="dxa" w:w="2160"/>
            <w:shd w:fill="FFFFFF"/>
            <w:tcMar>
              <w:top w:w="70" w:type="dxa"/>
              <w:bottom w:w="70" w:type="dxa"/>
              <w:left w:w="100" w:type="dxa"/>
              <w:right w:w="100" w:type="dxa"/>
            </w:tcMar>
          </w:tcPr>
          <w:p>
            <w:pPr>
              <w:jc w:val="left"/>
            </w:pPr>
            <w:r>
              <w:rPr>
                <w:rFonts w:ascii="Calibri" w:hAnsi="Calibri"/>
                <w:color w:val="1E293B"/>
                <w:sz w:val="18"/>
              </w:rPr>
              <w:t>60s Sürüşən pəncərə, Canary tələləri, avtomatlaşdırılmış IAM Freeze</w:t>
            </w:r>
          </w:p>
        </w:tc>
      </w:tr>
      <w:tr>
        <w:tc>
          <w:tcPr>
            <w:tcW w:type="dxa" w:w="1152"/>
            <w:shd w:fill="F8FAFC"/>
            <w:tcMar>
              <w:top w:w="70" w:type="dxa"/>
              <w:bottom w:w="70" w:type="dxa"/>
              <w:left w:w="100" w:type="dxa"/>
              <w:right w:w="100" w:type="dxa"/>
            </w:tcMar>
          </w:tcPr>
          <w:p>
            <w:pPr>
              <w:jc w:val="center"/>
            </w:pPr>
            <w:r>
              <w:rPr>
                <w:rFonts w:ascii="Calibri" w:hAnsi="Calibri"/>
                <w:color w:val="1E293B"/>
                <w:sz w:val="18"/>
              </w:rPr>
              <w:t>RSK-02</w:t>
            </w:r>
          </w:p>
        </w:tc>
        <w:tc>
          <w:tcPr>
            <w:tcW w:type="dxa" w:w="2592"/>
            <w:shd w:fill="F8FAFC"/>
            <w:tcMar>
              <w:top w:w="70" w:type="dxa"/>
              <w:bottom w:w="70" w:type="dxa"/>
              <w:left w:w="100" w:type="dxa"/>
              <w:right w:w="100" w:type="dxa"/>
            </w:tcMar>
          </w:tcPr>
          <w:p>
            <w:pPr>
              <w:jc w:val="left"/>
            </w:pPr>
            <w:r>
              <w:rPr>
                <w:rFonts w:ascii="Calibri" w:hAnsi="Calibri"/>
                <w:color w:val="1E293B"/>
                <w:sz w:val="18"/>
              </w:rPr>
              <w:t>Ehtiyat nüsxənin zədələnməsi və ya içinə gizli backdoor yerləşdirilməsi</w:t>
            </w:r>
          </w:p>
        </w:tc>
        <w:tc>
          <w:tcPr>
            <w:tcW w:type="dxa" w:w="1008"/>
            <w:shd w:fill="F8FAFC"/>
            <w:tcMar>
              <w:top w:w="70" w:type="dxa"/>
              <w:bottom w:w="70" w:type="dxa"/>
              <w:left w:w="100" w:type="dxa"/>
              <w:right w:w="100" w:type="dxa"/>
            </w:tcMar>
          </w:tcPr>
          <w:p>
            <w:pPr>
              <w:jc w:val="center"/>
            </w:pPr>
            <w:r>
              <w:rPr>
                <w:rFonts w:ascii="Calibri" w:hAnsi="Calibri"/>
                <w:color w:val="1E293B"/>
                <w:sz w:val="18"/>
              </w:rPr>
              <w:t>Orta (3)</w:t>
            </w:r>
          </w:p>
        </w:tc>
        <w:tc>
          <w:tcPr>
            <w:tcW w:type="dxa" w:w="1008"/>
            <w:shd w:fill="F8FAFC"/>
            <w:tcMar>
              <w:top w:w="70" w:type="dxa"/>
              <w:bottom w:w="70" w:type="dxa"/>
              <w:left w:w="100" w:type="dxa"/>
              <w:right w:w="100" w:type="dxa"/>
            </w:tcMar>
          </w:tcPr>
          <w:p>
            <w:pPr>
              <w:jc w:val="center"/>
            </w:pPr>
            <w:r>
              <w:rPr>
                <w:rFonts w:ascii="Calibri" w:hAnsi="Calibri"/>
                <w:color w:val="1E293B"/>
                <w:sz w:val="18"/>
              </w:rPr>
              <w:t>Kritik (4)</w:t>
            </w:r>
          </w:p>
        </w:tc>
        <w:tc>
          <w:tcPr>
            <w:tcW w:type="dxa" w:w="1152"/>
            <w:shd w:fill="F8FAFC"/>
            <w:tcMar>
              <w:top w:w="70" w:type="dxa"/>
              <w:bottom w:w="70" w:type="dxa"/>
              <w:left w:w="100" w:type="dxa"/>
              <w:right w:w="100" w:type="dxa"/>
            </w:tcMar>
          </w:tcPr>
          <w:p>
            <w:pPr>
              <w:jc w:val="center"/>
            </w:pPr>
            <w:r>
              <w:rPr>
                <w:rFonts w:ascii="Calibri" w:hAnsi="Calibri"/>
                <w:color w:val="1E293B"/>
                <w:sz w:val="18"/>
              </w:rPr>
              <w:t>YÜKSƏK (12)</w:t>
            </w:r>
          </w:p>
        </w:tc>
        <w:tc>
          <w:tcPr>
            <w:tcW w:type="dxa" w:w="2160"/>
            <w:shd w:fill="F8FAFC"/>
            <w:tcMar>
              <w:top w:w="70" w:type="dxa"/>
              <w:bottom w:w="70" w:type="dxa"/>
              <w:left w:w="100" w:type="dxa"/>
              <w:right w:w="100" w:type="dxa"/>
            </w:tcMar>
          </w:tcPr>
          <w:p>
            <w:pPr>
              <w:jc w:val="left"/>
            </w:pPr>
            <w:r>
              <w:rPr>
                <w:rFonts w:ascii="Calibri" w:hAnsi="Calibri"/>
                <w:color w:val="1E293B"/>
                <w:sz w:val="18"/>
              </w:rPr>
              <w:t>AES-256-GCM AEAD teqi və SHA-256 Merkle root ilə 100% tutuşdurma</w:t>
            </w:r>
          </w:p>
        </w:tc>
      </w:tr>
      <w:tr>
        <w:tc>
          <w:tcPr>
            <w:tcW w:type="dxa" w:w="1152"/>
            <w:shd w:fill="FFFFFF"/>
            <w:tcMar>
              <w:top w:w="70" w:type="dxa"/>
              <w:bottom w:w="70" w:type="dxa"/>
              <w:left w:w="100" w:type="dxa"/>
              <w:right w:w="100" w:type="dxa"/>
            </w:tcMar>
          </w:tcPr>
          <w:p>
            <w:pPr>
              <w:jc w:val="center"/>
            </w:pPr>
            <w:r>
              <w:rPr>
                <w:rFonts w:ascii="Calibri" w:hAnsi="Calibri"/>
                <w:color w:val="1E293B"/>
                <w:sz w:val="18"/>
              </w:rPr>
              <w:t>RSK-03</w:t>
            </w:r>
          </w:p>
        </w:tc>
        <w:tc>
          <w:tcPr>
            <w:tcW w:type="dxa" w:w="2592"/>
            <w:shd w:fill="FFFFFF"/>
            <w:tcMar>
              <w:top w:w="70" w:type="dxa"/>
              <w:bottom w:w="70" w:type="dxa"/>
              <w:left w:w="100" w:type="dxa"/>
              <w:right w:w="100" w:type="dxa"/>
            </w:tcMar>
          </w:tcPr>
          <w:p>
            <w:pPr>
              <w:jc w:val="left"/>
            </w:pPr>
            <w:r>
              <w:rPr>
                <w:rFonts w:ascii="Calibri" w:hAnsi="Calibri"/>
                <w:color w:val="1E293B"/>
                <w:sz w:val="18"/>
              </w:rPr>
              <w:t>Təcavüzkarın audit loqlarını silərək izləri itirməsi</w:t>
            </w:r>
          </w:p>
        </w:tc>
        <w:tc>
          <w:tcPr>
            <w:tcW w:type="dxa" w:w="1008"/>
            <w:shd w:fill="FFFFFF"/>
            <w:tcMar>
              <w:top w:w="70" w:type="dxa"/>
              <w:bottom w:w="70" w:type="dxa"/>
              <w:left w:w="100" w:type="dxa"/>
              <w:right w:w="100" w:type="dxa"/>
            </w:tcMar>
          </w:tcPr>
          <w:p>
            <w:pPr>
              <w:jc w:val="center"/>
            </w:pPr>
            <w:r>
              <w:rPr>
                <w:rFonts w:ascii="Calibri" w:hAnsi="Calibri"/>
                <w:color w:val="1E293B"/>
                <w:sz w:val="18"/>
              </w:rPr>
              <w:t>Orta (3)</w:t>
            </w:r>
          </w:p>
        </w:tc>
        <w:tc>
          <w:tcPr>
            <w:tcW w:type="dxa" w:w="1008"/>
            <w:shd w:fill="FFFFFF"/>
            <w:tcMar>
              <w:top w:w="70" w:type="dxa"/>
              <w:bottom w:w="70" w:type="dxa"/>
              <w:left w:w="100" w:type="dxa"/>
              <w:right w:w="100" w:type="dxa"/>
            </w:tcMar>
          </w:tcPr>
          <w:p>
            <w:pPr>
              <w:jc w:val="center"/>
            </w:pPr>
            <w:r>
              <w:rPr>
                <w:rFonts w:ascii="Calibri" w:hAnsi="Calibri"/>
                <w:color w:val="1E293B"/>
                <w:sz w:val="18"/>
              </w:rPr>
              <w:t>Yüksək (4)</w:t>
            </w:r>
          </w:p>
        </w:tc>
        <w:tc>
          <w:tcPr>
            <w:tcW w:type="dxa" w:w="1152"/>
            <w:shd w:fill="FFFFFF"/>
            <w:tcMar>
              <w:top w:w="70" w:type="dxa"/>
              <w:bottom w:w="70" w:type="dxa"/>
              <w:left w:w="100" w:type="dxa"/>
              <w:right w:w="100" w:type="dxa"/>
            </w:tcMar>
          </w:tcPr>
          <w:p>
            <w:pPr>
              <w:jc w:val="center"/>
            </w:pPr>
            <w:r>
              <w:rPr>
                <w:rFonts w:ascii="Calibri" w:hAnsi="Calibri"/>
                <w:color w:val="1E293B"/>
                <w:sz w:val="18"/>
              </w:rPr>
              <w:t>YÜKSƏK (12)</w:t>
            </w:r>
          </w:p>
        </w:tc>
        <w:tc>
          <w:tcPr>
            <w:tcW w:type="dxa" w:w="2160"/>
            <w:shd w:fill="FFFFFF"/>
            <w:tcMar>
              <w:top w:w="70" w:type="dxa"/>
              <w:bottom w:w="70" w:type="dxa"/>
              <w:left w:w="100" w:type="dxa"/>
              <w:right w:w="100" w:type="dxa"/>
            </w:tcMar>
          </w:tcPr>
          <w:p>
            <w:pPr>
              <w:jc w:val="left"/>
            </w:pPr>
            <w:r>
              <w:rPr>
                <w:rFonts w:ascii="Calibri" w:hAnsi="Calibri"/>
                <w:color w:val="1E293B"/>
                <w:sz w:val="18"/>
              </w:rPr>
              <w:t>Dəyişdirilməz SHA-256 Hash-chained audit jurnalı və Append-only siyasəti</w:t>
            </w:r>
          </w:p>
        </w:tc>
      </w:tr>
      <w:tr>
        <w:tc>
          <w:tcPr>
            <w:tcW w:type="dxa" w:w="1152"/>
            <w:shd w:fill="F8FAFC"/>
            <w:tcMar>
              <w:top w:w="70" w:type="dxa"/>
              <w:bottom w:w="70" w:type="dxa"/>
              <w:left w:w="100" w:type="dxa"/>
              <w:right w:w="100" w:type="dxa"/>
            </w:tcMar>
          </w:tcPr>
          <w:p>
            <w:pPr>
              <w:jc w:val="center"/>
            </w:pPr>
            <w:r>
              <w:rPr>
                <w:rFonts w:ascii="Calibri" w:hAnsi="Calibri"/>
                <w:color w:val="1E293B"/>
                <w:sz w:val="18"/>
              </w:rPr>
              <w:t>RSK-04</w:t>
            </w:r>
          </w:p>
        </w:tc>
        <w:tc>
          <w:tcPr>
            <w:tcW w:type="dxa" w:w="2592"/>
            <w:shd w:fill="F8FAFC"/>
            <w:tcMar>
              <w:top w:w="70" w:type="dxa"/>
              <w:bottom w:w="70" w:type="dxa"/>
              <w:left w:w="100" w:type="dxa"/>
              <w:right w:w="100" w:type="dxa"/>
            </w:tcMar>
          </w:tcPr>
          <w:p>
            <w:pPr>
              <w:jc w:val="left"/>
            </w:pPr>
            <w:r>
              <w:rPr>
                <w:rFonts w:ascii="Calibri" w:hAnsi="Calibri"/>
                <w:color w:val="1E293B"/>
                <w:sz w:val="18"/>
              </w:rPr>
              <w:t>Qanuni kütləvi əməliyyatların səhvən bloklanması (Yalançı həyəcan)</w:t>
            </w:r>
          </w:p>
        </w:tc>
        <w:tc>
          <w:tcPr>
            <w:tcW w:type="dxa" w:w="1008"/>
            <w:shd w:fill="F8FAFC"/>
            <w:tcMar>
              <w:top w:w="70" w:type="dxa"/>
              <w:bottom w:w="70" w:type="dxa"/>
              <w:left w:w="100" w:type="dxa"/>
              <w:right w:w="100" w:type="dxa"/>
            </w:tcMar>
          </w:tcPr>
          <w:p>
            <w:pPr>
              <w:jc w:val="center"/>
            </w:pPr>
            <w:r>
              <w:rPr>
                <w:rFonts w:ascii="Calibri" w:hAnsi="Calibri"/>
                <w:color w:val="1E293B"/>
                <w:sz w:val="18"/>
              </w:rPr>
              <w:t>Yüksək (4)</w:t>
            </w:r>
          </w:p>
        </w:tc>
        <w:tc>
          <w:tcPr>
            <w:tcW w:type="dxa" w:w="1008"/>
            <w:shd w:fill="F8FAFC"/>
            <w:tcMar>
              <w:top w:w="70" w:type="dxa"/>
              <w:bottom w:w="70" w:type="dxa"/>
              <w:left w:w="100" w:type="dxa"/>
              <w:right w:w="100" w:type="dxa"/>
            </w:tcMar>
          </w:tcPr>
          <w:p>
            <w:pPr>
              <w:jc w:val="center"/>
            </w:pPr>
            <w:r>
              <w:rPr>
                <w:rFonts w:ascii="Calibri" w:hAnsi="Calibri"/>
                <w:color w:val="1E293B"/>
                <w:sz w:val="18"/>
              </w:rPr>
              <w:t>Orta (2)</w:t>
            </w:r>
          </w:p>
        </w:tc>
        <w:tc>
          <w:tcPr>
            <w:tcW w:type="dxa" w:w="1152"/>
            <w:shd w:fill="F8FAFC"/>
            <w:tcMar>
              <w:top w:w="70" w:type="dxa"/>
              <w:bottom w:w="70" w:type="dxa"/>
              <w:left w:w="100" w:type="dxa"/>
              <w:right w:w="100" w:type="dxa"/>
            </w:tcMar>
          </w:tcPr>
          <w:p>
            <w:pPr>
              <w:jc w:val="center"/>
            </w:pPr>
            <w:r>
              <w:rPr>
                <w:rFonts w:ascii="Calibri" w:hAnsi="Calibri"/>
                <w:color w:val="1E293B"/>
                <w:sz w:val="18"/>
              </w:rPr>
              <w:t>ORTA (8)</w:t>
            </w:r>
          </w:p>
        </w:tc>
        <w:tc>
          <w:tcPr>
            <w:tcW w:type="dxa" w:w="2160"/>
            <w:shd w:fill="F8FAFC"/>
            <w:tcMar>
              <w:top w:w="70" w:type="dxa"/>
              <w:bottom w:w="70" w:type="dxa"/>
              <w:left w:w="100" w:type="dxa"/>
              <w:right w:w="100" w:type="dxa"/>
            </w:tcMar>
          </w:tcPr>
          <w:p>
            <w:pPr>
              <w:jc w:val="left"/>
            </w:pPr>
            <w:r>
              <w:rPr>
                <w:rFonts w:ascii="Calibri" w:hAnsi="Calibri"/>
                <w:color w:val="1E293B"/>
                <w:sz w:val="18"/>
              </w:rPr>
              <w:t>İcazəli hesablar siyahısı (ALLOWLISTED_ACCOUNTS) və hədd kalibrasiyası</w:t>
            </w:r>
          </w:p>
        </w:tc>
      </w:tr>
      <w:tr>
        <w:tc>
          <w:tcPr>
            <w:tcW w:type="dxa" w:w="1152"/>
            <w:shd w:fill="FFFFFF"/>
            <w:tcMar>
              <w:top w:w="70" w:type="dxa"/>
              <w:bottom w:w="70" w:type="dxa"/>
              <w:left w:w="100" w:type="dxa"/>
              <w:right w:w="100" w:type="dxa"/>
            </w:tcMar>
          </w:tcPr>
          <w:p>
            <w:pPr>
              <w:jc w:val="center"/>
            </w:pPr>
            <w:r>
              <w:rPr>
                <w:rFonts w:ascii="Calibri" w:hAnsi="Calibri"/>
                <w:color w:val="1E293B"/>
                <w:sz w:val="18"/>
              </w:rPr>
              <w:t>RSK-05</w:t>
            </w:r>
          </w:p>
        </w:tc>
        <w:tc>
          <w:tcPr>
            <w:tcW w:type="dxa" w:w="2592"/>
            <w:shd w:fill="FFFFFF"/>
            <w:tcMar>
              <w:top w:w="70" w:type="dxa"/>
              <w:bottom w:w="70" w:type="dxa"/>
              <w:left w:w="100" w:type="dxa"/>
              <w:right w:w="100" w:type="dxa"/>
            </w:tcMar>
          </w:tcPr>
          <w:p>
            <w:pPr>
              <w:jc w:val="left"/>
            </w:pPr>
            <w:r>
              <w:rPr>
                <w:rFonts w:ascii="Calibri" w:hAnsi="Calibri"/>
                <w:color w:val="1E293B"/>
                <w:sz w:val="18"/>
              </w:rPr>
              <w:t>Bulud servisi xətası və ya şəbəkə kəsilməsi</w:t>
            </w:r>
          </w:p>
        </w:tc>
        <w:tc>
          <w:tcPr>
            <w:tcW w:type="dxa" w:w="1008"/>
            <w:shd w:fill="FFFFFF"/>
            <w:tcMar>
              <w:top w:w="70" w:type="dxa"/>
              <w:bottom w:w="70" w:type="dxa"/>
              <w:left w:w="100" w:type="dxa"/>
              <w:right w:w="100" w:type="dxa"/>
            </w:tcMar>
          </w:tcPr>
          <w:p>
            <w:pPr>
              <w:jc w:val="center"/>
            </w:pPr>
            <w:r>
              <w:rPr>
                <w:rFonts w:ascii="Calibri" w:hAnsi="Calibri"/>
                <w:color w:val="1E293B"/>
                <w:sz w:val="18"/>
              </w:rPr>
              <w:t>Aşağı (2)</w:t>
            </w:r>
          </w:p>
        </w:tc>
        <w:tc>
          <w:tcPr>
            <w:tcW w:type="dxa" w:w="1008"/>
            <w:shd w:fill="FFFFFF"/>
            <w:tcMar>
              <w:top w:w="70" w:type="dxa"/>
              <w:bottom w:w="70" w:type="dxa"/>
              <w:left w:w="100" w:type="dxa"/>
              <w:right w:w="100" w:type="dxa"/>
            </w:tcMar>
          </w:tcPr>
          <w:p>
            <w:pPr>
              <w:jc w:val="center"/>
            </w:pPr>
            <w:r>
              <w:rPr>
                <w:rFonts w:ascii="Calibri" w:hAnsi="Calibri"/>
                <w:color w:val="1E293B"/>
                <w:sz w:val="18"/>
              </w:rPr>
              <w:t>Kritik (4)</w:t>
            </w:r>
          </w:p>
        </w:tc>
        <w:tc>
          <w:tcPr>
            <w:tcW w:type="dxa" w:w="1152"/>
            <w:shd w:fill="FFFFFF"/>
            <w:tcMar>
              <w:top w:w="70" w:type="dxa"/>
              <w:bottom w:w="70" w:type="dxa"/>
              <w:left w:w="100" w:type="dxa"/>
              <w:right w:w="100" w:type="dxa"/>
            </w:tcMar>
          </w:tcPr>
          <w:p>
            <w:pPr>
              <w:jc w:val="center"/>
            </w:pPr>
            <w:r>
              <w:rPr>
                <w:rFonts w:ascii="Calibri" w:hAnsi="Calibri"/>
                <w:color w:val="1E293B"/>
                <w:sz w:val="18"/>
              </w:rPr>
              <w:t>ORTA (8)</w:t>
            </w:r>
          </w:p>
        </w:tc>
        <w:tc>
          <w:tcPr>
            <w:tcW w:type="dxa" w:w="2160"/>
            <w:shd w:fill="FFFFFF"/>
            <w:tcMar>
              <w:top w:w="70" w:type="dxa"/>
              <w:bottom w:w="70" w:type="dxa"/>
              <w:left w:w="100" w:type="dxa"/>
              <w:right w:w="100" w:type="dxa"/>
            </w:tcMar>
          </w:tcPr>
          <w:p>
            <w:pPr>
              <w:jc w:val="left"/>
            </w:pPr>
            <w:r>
              <w:rPr>
                <w:rFonts w:ascii="Calibri" w:hAnsi="Calibri"/>
                <w:color w:val="1E293B"/>
                <w:sz w:val="18"/>
              </w:rPr>
              <w:t>Fasiləsiz yerli keşləmə, retry dövrləri və lokal fallback saxlanc adapteri</w:t>
            </w:r>
          </w:p>
        </w:tc>
      </w:tr>
    </w:tbl>
    <w:p>
      <w:pPr>
        <w:spacing w:after="80"/>
      </w:pPr>
    </w:p>
    <w:p>
      <w:pPr>
        <w:keepNext/>
        <w:spacing w:before="280" w:after="80"/>
      </w:pPr>
      <w:r>
        <w:rPr>
          <w:rFonts w:ascii="Calibri" w:hAnsi="Calibri"/>
          <w:b/>
          <w:color w:val="1E293B"/>
          <w:sz w:val="26"/>
        </w:rPr>
        <w:t>8.3. Tətbiq Edilə Bilənlik Bəyannaməsi (SoA — ISO 27001:2022 &amp; NIST CSF 2.0)</w:t>
      </w:r>
    </w:p>
    <w:p>
      <w:pPr>
        <w:spacing w:line="276" w:lineRule="auto" w:after="100"/>
      </w:pPr>
      <w:r>
        <w:rPr>
          <w:rFonts w:ascii="Calibri" w:hAnsi="Calibri"/>
          <w:color w:val="1E293B"/>
          <w:sz w:val="22"/>
        </w:rPr>
        <w:t>Cədvəl 4. ISO 27001:2022 Əlavə A Nəzarətləri və NIST CSF 2.0 Xəritələnməsi</w:t>
      </w:r>
    </w:p>
    <w:tbl>
      <w:tblPr>
        <w:tblW w:type="auto" w:w="0"/>
        <w:jc w:val="center"/>
        <w:tblLook w:firstColumn="1" w:firstRow="1" w:lastColumn="0" w:lastRow="0" w:noHBand="0" w:noVBand="1" w:val="04A0"/>
      </w:tblPr>
      <w:tblGrid>
        <w:gridCol w:w="2268"/>
        <w:gridCol w:w="2268"/>
        <w:gridCol w:w="2268"/>
        <w:gridCol w:w="2268"/>
      </w:tblGrid>
      <w:tr>
        <w:tc>
          <w:tcPr>
            <w:tcW w:type="dxa" w:w="1728"/>
            <w:shd w:fill="0F172A"/>
            <w:tcMar>
              <w:top w:w="90" w:type="dxa"/>
              <w:bottom w:w="90" w:type="dxa"/>
              <w:left w:w="100" w:type="dxa"/>
              <w:right w:w="100" w:type="dxa"/>
            </w:tcMar>
          </w:tcPr>
          <w:p>
            <w:pPr>
              <w:jc w:val="center"/>
            </w:pPr>
            <w:r>
              <w:rPr>
                <w:rFonts w:ascii="Calibri" w:hAnsi="Calibri"/>
                <w:b/>
                <w:color w:val="FFFFFF"/>
                <w:sz w:val="19"/>
              </w:rPr>
              <w:t>ISO 27001 Nəzarət</w:t>
            </w:r>
          </w:p>
        </w:tc>
        <w:tc>
          <w:tcPr>
            <w:tcW w:type="dxa" w:w="2592"/>
            <w:shd w:fill="0F172A"/>
            <w:tcMar>
              <w:top w:w="90" w:type="dxa"/>
              <w:bottom w:w="90" w:type="dxa"/>
              <w:left w:w="100" w:type="dxa"/>
              <w:right w:w="100" w:type="dxa"/>
            </w:tcMar>
          </w:tcPr>
          <w:p>
            <w:pPr>
              <w:jc w:val="left"/>
            </w:pPr>
            <w:r>
              <w:rPr>
                <w:rFonts w:ascii="Calibri" w:hAnsi="Calibri"/>
                <w:b/>
                <w:color w:val="FFFFFF"/>
                <w:sz w:val="19"/>
              </w:rPr>
              <w:t>Nəzarət Tələbinin Adı</w:t>
            </w:r>
          </w:p>
        </w:tc>
        <w:tc>
          <w:tcPr>
            <w:tcW w:type="dxa" w:w="3024"/>
            <w:shd w:fill="0F172A"/>
            <w:tcMar>
              <w:top w:w="90" w:type="dxa"/>
              <w:bottom w:w="90" w:type="dxa"/>
              <w:left w:w="100" w:type="dxa"/>
              <w:right w:w="100" w:type="dxa"/>
            </w:tcMar>
          </w:tcPr>
          <w:p>
            <w:pPr>
              <w:jc w:val="left"/>
            </w:pPr>
            <w:r>
              <w:rPr>
                <w:rFonts w:ascii="Calibri" w:hAnsi="Calibri"/>
                <w:b/>
                <w:color w:val="FFFFFF"/>
                <w:sz w:val="19"/>
              </w:rPr>
              <w:t>CloudRDR Reallaşdırma Mexanizmi</w:t>
            </w:r>
          </w:p>
        </w:tc>
        <w:tc>
          <w:tcPr>
            <w:tcW w:type="dxa" w:w="1728"/>
            <w:shd w:fill="0F172A"/>
            <w:tcMar>
              <w:top w:w="90" w:type="dxa"/>
              <w:bottom w:w="90" w:type="dxa"/>
              <w:left w:w="100" w:type="dxa"/>
              <w:right w:w="100" w:type="dxa"/>
            </w:tcMar>
          </w:tcPr>
          <w:p>
            <w:pPr>
              <w:jc w:val="center"/>
            </w:pPr>
            <w:r>
              <w:rPr>
                <w:rFonts w:ascii="Calibri" w:hAnsi="Calibri"/>
                <w:b/>
                <w:color w:val="FFFFFF"/>
                <w:sz w:val="19"/>
              </w:rPr>
              <w:t>NIST CSF 2.0 Funksiyası</w:t>
            </w:r>
          </w:p>
        </w:tc>
      </w:tr>
      <w:tr>
        <w:tc>
          <w:tcPr>
            <w:tcW w:type="dxa" w:w="1728"/>
            <w:shd w:fill="FFFFFF"/>
            <w:tcMar>
              <w:top w:w="70" w:type="dxa"/>
              <w:bottom w:w="70" w:type="dxa"/>
              <w:left w:w="100" w:type="dxa"/>
              <w:right w:w="100" w:type="dxa"/>
            </w:tcMar>
          </w:tcPr>
          <w:p>
            <w:pPr>
              <w:jc w:val="center"/>
            </w:pPr>
            <w:r>
              <w:rPr>
                <w:rFonts w:ascii="Calibri" w:hAnsi="Calibri"/>
                <w:color w:val="1E293B"/>
                <w:sz w:val="18"/>
              </w:rPr>
              <w:t>A.5.23</w:t>
            </w:r>
          </w:p>
        </w:tc>
        <w:tc>
          <w:tcPr>
            <w:tcW w:type="dxa" w:w="2592"/>
            <w:shd w:fill="FFFFFF"/>
            <w:tcMar>
              <w:top w:w="70" w:type="dxa"/>
              <w:bottom w:w="70" w:type="dxa"/>
              <w:left w:w="100" w:type="dxa"/>
              <w:right w:w="100" w:type="dxa"/>
            </w:tcMar>
          </w:tcPr>
          <w:p>
            <w:pPr>
              <w:jc w:val="left"/>
            </w:pPr>
            <w:r>
              <w:rPr>
                <w:rFonts w:ascii="Calibri" w:hAnsi="Calibri"/>
                <w:color w:val="1E293B"/>
                <w:sz w:val="18"/>
              </w:rPr>
              <w:t>Bulud Xidmətlərində İnformasiya Təhlükəsizliyi</w:t>
            </w:r>
          </w:p>
        </w:tc>
        <w:tc>
          <w:tcPr>
            <w:tcW w:type="dxa" w:w="3024"/>
            <w:shd w:fill="FFFFFF"/>
            <w:tcMar>
              <w:top w:w="70" w:type="dxa"/>
              <w:bottom w:w="70" w:type="dxa"/>
              <w:left w:w="100" w:type="dxa"/>
              <w:right w:w="100" w:type="dxa"/>
            </w:tcMar>
          </w:tcPr>
          <w:p>
            <w:pPr>
              <w:jc w:val="left"/>
            </w:pPr>
            <w:r>
              <w:rPr>
                <w:rFonts w:ascii="Calibri" w:hAnsi="Calibri"/>
                <w:color w:val="1E293B"/>
                <w:sz w:val="18"/>
              </w:rPr>
              <w:t>Supabase Storage üçün özəl bucket, RLS deny-all və Least Privilege IAM konfiqurasiyası</w:t>
            </w:r>
          </w:p>
        </w:tc>
        <w:tc>
          <w:tcPr>
            <w:tcW w:type="dxa" w:w="1728"/>
            <w:shd w:fill="FFFFFF"/>
            <w:tcMar>
              <w:top w:w="70" w:type="dxa"/>
              <w:bottom w:w="70" w:type="dxa"/>
              <w:left w:w="100" w:type="dxa"/>
              <w:right w:w="100" w:type="dxa"/>
            </w:tcMar>
          </w:tcPr>
          <w:p>
            <w:pPr>
              <w:jc w:val="center"/>
            </w:pPr>
            <w:r>
              <w:rPr>
                <w:rFonts w:ascii="Calibri" w:hAnsi="Calibri"/>
                <w:color w:val="1E293B"/>
                <w:sz w:val="18"/>
              </w:rPr>
              <w:t>GOVERN (GV.SC)</w:t>
            </w:r>
          </w:p>
        </w:tc>
      </w:tr>
      <w:tr>
        <w:tc>
          <w:tcPr>
            <w:tcW w:type="dxa" w:w="1728"/>
            <w:shd w:fill="F8FAFC"/>
            <w:tcMar>
              <w:top w:w="70" w:type="dxa"/>
              <w:bottom w:w="70" w:type="dxa"/>
              <w:left w:w="100" w:type="dxa"/>
              <w:right w:w="100" w:type="dxa"/>
            </w:tcMar>
          </w:tcPr>
          <w:p>
            <w:pPr>
              <w:jc w:val="center"/>
            </w:pPr>
            <w:r>
              <w:rPr>
                <w:rFonts w:ascii="Calibri" w:hAnsi="Calibri"/>
                <w:color w:val="1E293B"/>
                <w:sz w:val="18"/>
              </w:rPr>
              <w:t>A.8.7</w:t>
            </w:r>
          </w:p>
        </w:tc>
        <w:tc>
          <w:tcPr>
            <w:tcW w:type="dxa" w:w="2592"/>
            <w:shd w:fill="F8FAFC"/>
            <w:tcMar>
              <w:top w:w="70" w:type="dxa"/>
              <w:bottom w:w="70" w:type="dxa"/>
              <w:left w:w="100" w:type="dxa"/>
              <w:right w:w="100" w:type="dxa"/>
            </w:tcMar>
          </w:tcPr>
          <w:p>
            <w:pPr>
              <w:jc w:val="left"/>
            </w:pPr>
            <w:r>
              <w:rPr>
                <w:rFonts w:ascii="Calibri" w:hAnsi="Calibri"/>
                <w:color w:val="1E293B"/>
                <w:sz w:val="18"/>
              </w:rPr>
              <w:t>Zərərli Proqram Təminatından Mühafizə</w:t>
            </w:r>
          </w:p>
        </w:tc>
        <w:tc>
          <w:tcPr>
            <w:tcW w:type="dxa" w:w="3024"/>
            <w:shd w:fill="F8FAFC"/>
            <w:tcMar>
              <w:top w:w="70" w:type="dxa"/>
              <w:bottom w:w="70" w:type="dxa"/>
              <w:left w:w="100" w:type="dxa"/>
              <w:right w:w="100" w:type="dxa"/>
            </w:tcMar>
          </w:tcPr>
          <w:p>
            <w:pPr>
              <w:jc w:val="left"/>
            </w:pPr>
            <w:r>
              <w:rPr>
                <w:rFonts w:ascii="Calibri" w:hAnsi="Calibri"/>
                <w:color w:val="1E293B"/>
                <w:sz w:val="18"/>
              </w:rPr>
              <w:t>60 saniyəlik sürüşən zaman pəncərəsi və Canary decoy tələ faylları ilə ransomware aşkarlanması</w:t>
            </w:r>
          </w:p>
        </w:tc>
        <w:tc>
          <w:tcPr>
            <w:tcW w:type="dxa" w:w="1728"/>
            <w:shd w:fill="F8FAFC"/>
            <w:tcMar>
              <w:top w:w="70" w:type="dxa"/>
              <w:bottom w:w="70" w:type="dxa"/>
              <w:left w:w="100" w:type="dxa"/>
              <w:right w:w="100" w:type="dxa"/>
            </w:tcMar>
          </w:tcPr>
          <w:p>
            <w:pPr>
              <w:jc w:val="center"/>
            </w:pPr>
            <w:r>
              <w:rPr>
                <w:rFonts w:ascii="Calibri" w:hAnsi="Calibri"/>
                <w:color w:val="1E293B"/>
                <w:sz w:val="18"/>
              </w:rPr>
              <w:t>PROTECT (PR.PS)</w:t>
            </w:r>
          </w:p>
        </w:tc>
      </w:tr>
      <w:tr>
        <w:tc>
          <w:tcPr>
            <w:tcW w:type="dxa" w:w="1728"/>
            <w:shd w:fill="FFFFFF"/>
            <w:tcMar>
              <w:top w:w="70" w:type="dxa"/>
              <w:bottom w:w="70" w:type="dxa"/>
              <w:left w:w="100" w:type="dxa"/>
              <w:right w:w="100" w:type="dxa"/>
            </w:tcMar>
          </w:tcPr>
          <w:p>
            <w:pPr>
              <w:jc w:val="center"/>
            </w:pPr>
            <w:r>
              <w:rPr>
                <w:rFonts w:ascii="Calibri" w:hAnsi="Calibri"/>
                <w:color w:val="1E293B"/>
                <w:sz w:val="18"/>
              </w:rPr>
              <w:t>A.8.15</w:t>
            </w:r>
          </w:p>
        </w:tc>
        <w:tc>
          <w:tcPr>
            <w:tcW w:type="dxa" w:w="2592"/>
            <w:shd w:fill="FFFFFF"/>
            <w:tcMar>
              <w:top w:w="70" w:type="dxa"/>
              <w:bottom w:w="70" w:type="dxa"/>
              <w:left w:w="100" w:type="dxa"/>
              <w:right w:w="100" w:type="dxa"/>
            </w:tcMar>
          </w:tcPr>
          <w:p>
            <w:pPr>
              <w:jc w:val="left"/>
            </w:pPr>
            <w:r>
              <w:rPr>
                <w:rFonts w:ascii="Calibri" w:hAnsi="Calibri"/>
                <w:color w:val="1E293B"/>
                <w:sz w:val="18"/>
              </w:rPr>
              <w:t>Jurnalların Qeydiyyatı (Logging)</w:t>
            </w:r>
          </w:p>
        </w:tc>
        <w:tc>
          <w:tcPr>
            <w:tcW w:type="dxa" w:w="3024"/>
            <w:shd w:fill="FFFFFF"/>
            <w:tcMar>
              <w:top w:w="70" w:type="dxa"/>
              <w:bottom w:w="70" w:type="dxa"/>
              <w:left w:w="100" w:type="dxa"/>
              <w:right w:w="100" w:type="dxa"/>
            </w:tcMar>
          </w:tcPr>
          <w:p>
            <w:pPr>
              <w:jc w:val="left"/>
            </w:pPr>
            <w:r>
              <w:rPr>
                <w:rFonts w:ascii="Calibri" w:hAnsi="Calibri"/>
                <w:color w:val="1E293B"/>
                <w:sz w:val="18"/>
              </w:rPr>
              <w:t>Dəyişdirilməz SHA-256 hash-chained audit jurnalı və hərəkətlərin xronoloji fiksasiyası</w:t>
            </w:r>
          </w:p>
        </w:tc>
        <w:tc>
          <w:tcPr>
            <w:tcW w:type="dxa" w:w="1728"/>
            <w:shd w:fill="FFFFFF"/>
            <w:tcMar>
              <w:top w:w="70" w:type="dxa"/>
              <w:bottom w:w="70" w:type="dxa"/>
              <w:left w:w="100" w:type="dxa"/>
              <w:right w:w="100" w:type="dxa"/>
            </w:tcMar>
          </w:tcPr>
          <w:p>
            <w:pPr>
              <w:jc w:val="center"/>
            </w:pPr>
            <w:r>
              <w:rPr>
                <w:rFonts w:ascii="Calibri" w:hAnsi="Calibri"/>
                <w:color w:val="1E293B"/>
                <w:sz w:val="18"/>
              </w:rPr>
              <w:t>DETECT (DE.AE)</w:t>
            </w:r>
          </w:p>
        </w:tc>
      </w:tr>
      <w:tr>
        <w:tc>
          <w:tcPr>
            <w:tcW w:type="dxa" w:w="1728"/>
            <w:shd w:fill="F8FAFC"/>
            <w:tcMar>
              <w:top w:w="70" w:type="dxa"/>
              <w:bottom w:w="70" w:type="dxa"/>
              <w:left w:w="100" w:type="dxa"/>
              <w:right w:w="100" w:type="dxa"/>
            </w:tcMar>
          </w:tcPr>
          <w:p>
            <w:pPr>
              <w:jc w:val="center"/>
            </w:pPr>
            <w:r>
              <w:rPr>
                <w:rFonts w:ascii="Calibri" w:hAnsi="Calibri"/>
                <w:color w:val="1E293B"/>
                <w:sz w:val="18"/>
              </w:rPr>
              <w:t>A.8.16</w:t>
            </w:r>
          </w:p>
        </w:tc>
        <w:tc>
          <w:tcPr>
            <w:tcW w:type="dxa" w:w="2592"/>
            <w:shd w:fill="F8FAFC"/>
            <w:tcMar>
              <w:top w:w="70" w:type="dxa"/>
              <w:bottom w:w="70" w:type="dxa"/>
              <w:left w:w="100" w:type="dxa"/>
              <w:right w:w="100" w:type="dxa"/>
            </w:tcMar>
          </w:tcPr>
          <w:p>
            <w:pPr>
              <w:jc w:val="left"/>
            </w:pPr>
            <w:r>
              <w:rPr>
                <w:rFonts w:ascii="Calibri" w:hAnsi="Calibri"/>
                <w:color w:val="1E293B"/>
                <w:sz w:val="18"/>
              </w:rPr>
              <w:t>Monitorinq Fəaliyyətləri</w:t>
            </w:r>
          </w:p>
        </w:tc>
        <w:tc>
          <w:tcPr>
            <w:tcW w:type="dxa" w:w="3024"/>
            <w:shd w:fill="F8FAFC"/>
            <w:tcMar>
              <w:top w:w="70" w:type="dxa"/>
              <w:bottom w:w="70" w:type="dxa"/>
              <w:left w:w="100" w:type="dxa"/>
              <w:right w:w="100" w:type="dxa"/>
            </w:tcMar>
          </w:tcPr>
          <w:p>
            <w:pPr>
              <w:jc w:val="left"/>
            </w:pPr>
            <w:r>
              <w:rPr>
                <w:rFonts w:ascii="Calibri" w:hAnsi="Calibri"/>
                <w:color w:val="1E293B"/>
                <w:sz w:val="18"/>
              </w:rPr>
              <w:t>Hər 10 saniyədən bir saxlancı təftiş edən Monitor Agent və real vaxt sürət qrafiki</w:t>
            </w:r>
          </w:p>
        </w:tc>
        <w:tc>
          <w:tcPr>
            <w:tcW w:type="dxa" w:w="1728"/>
            <w:shd w:fill="F8FAFC"/>
            <w:tcMar>
              <w:top w:w="70" w:type="dxa"/>
              <w:bottom w:w="70" w:type="dxa"/>
              <w:left w:w="100" w:type="dxa"/>
              <w:right w:w="100" w:type="dxa"/>
            </w:tcMar>
          </w:tcPr>
          <w:p>
            <w:pPr>
              <w:jc w:val="center"/>
            </w:pPr>
            <w:r>
              <w:rPr>
                <w:rFonts w:ascii="Calibri" w:hAnsi="Calibri"/>
                <w:color w:val="1E293B"/>
                <w:sz w:val="18"/>
              </w:rPr>
              <w:t>DETECT (DE.CM)</w:t>
            </w:r>
          </w:p>
        </w:tc>
      </w:tr>
      <w:tr>
        <w:tc>
          <w:tcPr>
            <w:tcW w:type="dxa" w:w="1728"/>
            <w:shd w:fill="FFFFFF"/>
            <w:tcMar>
              <w:top w:w="70" w:type="dxa"/>
              <w:bottom w:w="70" w:type="dxa"/>
              <w:left w:w="100" w:type="dxa"/>
              <w:right w:w="100" w:type="dxa"/>
            </w:tcMar>
          </w:tcPr>
          <w:p>
            <w:pPr>
              <w:jc w:val="center"/>
            </w:pPr>
            <w:r>
              <w:rPr>
                <w:rFonts w:ascii="Calibri" w:hAnsi="Calibri"/>
                <w:color w:val="1E293B"/>
                <w:sz w:val="18"/>
              </w:rPr>
              <w:t>A.8.24</w:t>
            </w:r>
          </w:p>
        </w:tc>
        <w:tc>
          <w:tcPr>
            <w:tcW w:type="dxa" w:w="2592"/>
            <w:shd w:fill="FFFFFF"/>
            <w:tcMar>
              <w:top w:w="70" w:type="dxa"/>
              <w:bottom w:w="70" w:type="dxa"/>
              <w:left w:w="100" w:type="dxa"/>
              <w:right w:w="100" w:type="dxa"/>
            </w:tcMar>
          </w:tcPr>
          <w:p>
            <w:pPr>
              <w:jc w:val="left"/>
            </w:pPr>
            <w:r>
              <w:rPr>
                <w:rFonts w:ascii="Calibri" w:hAnsi="Calibri"/>
                <w:color w:val="1E293B"/>
                <w:sz w:val="18"/>
              </w:rPr>
              <w:t>Kriptoqrafiyanın İstifadəsi</w:t>
            </w:r>
          </w:p>
        </w:tc>
        <w:tc>
          <w:tcPr>
            <w:tcW w:type="dxa" w:w="3024"/>
            <w:shd w:fill="FFFFFF"/>
            <w:tcMar>
              <w:top w:w="70" w:type="dxa"/>
              <w:bottom w:w="70" w:type="dxa"/>
              <w:left w:w="100" w:type="dxa"/>
              <w:right w:w="100" w:type="dxa"/>
            </w:tcMar>
          </w:tcPr>
          <w:p>
            <w:pPr>
              <w:jc w:val="left"/>
            </w:pPr>
            <w:r>
              <w:rPr>
                <w:rFonts w:ascii="Calibri" w:hAnsi="Calibri"/>
                <w:color w:val="1E293B"/>
                <w:sz w:val="18"/>
              </w:rPr>
              <w:t>SHA-256 Merkle ağacı, AES-256-GCM AEAD ehtiyat nüsxələmə və Ed25519 rəqəmsal imzaları</w:t>
            </w:r>
          </w:p>
        </w:tc>
        <w:tc>
          <w:tcPr>
            <w:tcW w:type="dxa" w:w="1728"/>
            <w:shd w:fill="FFFFFF"/>
            <w:tcMar>
              <w:top w:w="70" w:type="dxa"/>
              <w:bottom w:w="70" w:type="dxa"/>
              <w:left w:w="100" w:type="dxa"/>
              <w:right w:w="100" w:type="dxa"/>
            </w:tcMar>
          </w:tcPr>
          <w:p>
            <w:pPr>
              <w:jc w:val="center"/>
            </w:pPr>
            <w:r>
              <w:rPr>
                <w:rFonts w:ascii="Calibri" w:hAnsi="Calibri"/>
                <w:color w:val="1E293B"/>
                <w:sz w:val="18"/>
              </w:rPr>
              <w:t>PROTECT (PR.DS)</w:t>
            </w:r>
          </w:p>
        </w:tc>
      </w:tr>
      <w:tr>
        <w:tc>
          <w:tcPr>
            <w:tcW w:type="dxa" w:w="1728"/>
            <w:shd w:fill="F8FAFC"/>
            <w:tcMar>
              <w:top w:w="70" w:type="dxa"/>
              <w:bottom w:w="70" w:type="dxa"/>
              <w:left w:w="100" w:type="dxa"/>
              <w:right w:w="100" w:type="dxa"/>
            </w:tcMar>
          </w:tcPr>
          <w:p>
            <w:pPr>
              <w:jc w:val="center"/>
            </w:pPr>
            <w:r>
              <w:rPr>
                <w:rFonts w:ascii="Calibri" w:hAnsi="Calibri"/>
                <w:color w:val="1E293B"/>
                <w:sz w:val="18"/>
              </w:rPr>
              <w:t>A.8.14</w:t>
            </w:r>
          </w:p>
        </w:tc>
        <w:tc>
          <w:tcPr>
            <w:tcW w:type="dxa" w:w="2592"/>
            <w:shd w:fill="F8FAFC"/>
            <w:tcMar>
              <w:top w:w="70" w:type="dxa"/>
              <w:bottom w:w="70" w:type="dxa"/>
              <w:left w:w="100" w:type="dxa"/>
              <w:right w:w="100" w:type="dxa"/>
            </w:tcMar>
          </w:tcPr>
          <w:p>
            <w:pPr>
              <w:jc w:val="left"/>
            </w:pPr>
            <w:r>
              <w:rPr>
                <w:rFonts w:ascii="Calibri" w:hAnsi="Calibri"/>
                <w:color w:val="1E293B"/>
                <w:sz w:val="18"/>
              </w:rPr>
              <w:t>Məlumatların Ehtiyat Nüsxələnməsi və Bərpası</w:t>
            </w:r>
          </w:p>
        </w:tc>
        <w:tc>
          <w:tcPr>
            <w:tcW w:type="dxa" w:w="3024"/>
            <w:shd w:fill="F8FAFC"/>
            <w:tcMar>
              <w:top w:w="70" w:type="dxa"/>
              <w:bottom w:w="70" w:type="dxa"/>
              <w:left w:w="100" w:type="dxa"/>
              <w:right w:w="100" w:type="dxa"/>
            </w:tcMar>
          </w:tcPr>
          <w:p>
            <w:pPr>
              <w:jc w:val="left"/>
            </w:pPr>
            <w:r>
              <w:rPr>
                <w:rFonts w:ascii="Calibri" w:hAnsi="Calibri"/>
                <w:color w:val="1E293B"/>
                <w:sz w:val="18"/>
              </w:rPr>
              <w:t>İzolyasiya olunmuş karantin sahəsində mərhələli bərpa və 100% bit-bərabərlik təsdiqi</w:t>
            </w:r>
          </w:p>
        </w:tc>
        <w:tc>
          <w:tcPr>
            <w:tcW w:type="dxa" w:w="1728"/>
            <w:shd w:fill="F8FAFC"/>
            <w:tcMar>
              <w:top w:w="70" w:type="dxa"/>
              <w:bottom w:w="70" w:type="dxa"/>
              <w:left w:w="100" w:type="dxa"/>
              <w:right w:w="100" w:type="dxa"/>
            </w:tcMar>
          </w:tcPr>
          <w:p>
            <w:pPr>
              <w:jc w:val="center"/>
            </w:pPr>
            <w:r>
              <w:rPr>
                <w:rFonts w:ascii="Calibri" w:hAnsi="Calibri"/>
                <w:color w:val="1E293B"/>
                <w:sz w:val="18"/>
              </w:rPr>
              <w:t>RECOVER (RC.RP)</w:t>
            </w:r>
          </w:p>
        </w:tc>
      </w:tr>
    </w:tbl>
    <w:p>
      <w:pPr>
        <w:spacing w:after="80"/>
      </w:pPr>
    </w:p>
    <w:p>
      <w:pPr>
        <w:keepNext/>
        <w:spacing w:before="280" w:after="80"/>
      </w:pPr>
      <w:r>
        <w:rPr>
          <w:rFonts w:ascii="Calibri" w:hAnsi="Calibri"/>
          <w:b/>
          <w:color w:val="1E293B"/>
          <w:sz w:val="26"/>
        </w:rPr>
        <w:t>8.4. İnsident Cavab Planı (NIST SP 800-61 Rev. 2) və Fəlakətdən Bərpa (BCP/DRP)</w:t>
      </w:r>
    </w:p>
    <w:p>
      <w:pPr>
        <w:spacing w:line="276" w:lineRule="auto" w:after="100"/>
      </w:pPr>
      <w:r>
        <w:rPr>
          <w:rFonts w:ascii="Calibri" w:hAnsi="Calibri"/>
          <w:color w:val="1E293B"/>
          <w:sz w:val="22"/>
        </w:rPr>
        <w:t>İnsidentlərin idarə edilməsi NIST SP 800-61 standartına uyğun 4 mərhələdə aparılır:</w:t>
        <w:br/>
        <w:t>1. Hazırlıq (Preparation): Baseline snapshotlarının möhürlənməsi, Canary faylların səpilməsi və API açarlarının paylanması.</w:t>
        <w:br/>
        <w:t>2. Aşkarlama və Təhlil (Detection &amp; Analysis): Sliding window dəyişiklik faizi və ya Canary toxunulması ilə hücumun təsdiqlənməsi.</w:t>
        <w:br/>
        <w:t>3. Lokallaşdırma və Məhv Etmə (Containment &amp; Eradication): Avtomatik IAM Write-Freeze siyasəti ilə hesabın bloklanması və Ed25519 aktının imzalanması.</w:t>
        <w:br/>
        <w:t>4. Bərpa və Nəticə (Recovery &amp; Post-Incident): Karantin bərpası, 100% VALID yoxlaması, dondurmanın aradan qaldırılması və dərslərin çıxarılması.</w:t>
        <w:br/>
        <w:br/>
        <w:t>Fəlakətdən Bərpa Planı (DRP) üzrə təsdiqlənmiş korporativ hədəflər:</w:t>
        <w:br/>
        <w:t>• RPO (Recovery Point Objective): RPO = 0 (Kriptoqrafik ehtiyat nüsxə baseline zamanı alındığı üçün heç bir məlumat itkisi olmur).</w:t>
        <w:br/>
        <w:t>• RTO (Recovery Time Objective): RTO &lt; 15 dəqiqə (Real sınaqlarımızda 20 fayl cəmi 0.8 saniyəyə tam bərpa olunmuşdur).</w:t>
      </w:r>
    </w:p>
    <w:p>
      <w:pPr>
        <w:keepNext/>
        <w:spacing w:before="160" w:after="40"/>
        <w:jc w:val="center"/>
      </w:pPr>
      <w:r>
        <w:drawing>
          <wp:inline xmlns:a="http://schemas.openxmlformats.org/drawingml/2006/main" xmlns:pic="http://schemas.openxmlformats.org/drawingml/2006/picture">
            <wp:extent cx="5303520" cy="2981774"/>
            <wp:docPr id="17" name="Picture 17"/>
            <wp:cNvGraphicFramePr>
              <a:graphicFrameLocks noChangeAspect="1"/>
            </wp:cNvGraphicFramePr>
            <a:graphic>
              <a:graphicData uri="http://schemas.openxmlformats.org/drawingml/2006/picture">
                <pic:pic>
                  <pic:nvPicPr>
                    <pic:cNvPr id="0" name="15_quarantine_staged_restore.png"/>
                    <pic:cNvPicPr/>
                  </pic:nvPicPr>
                  <pic:blipFill>
                    <a:blip r:embed="rId26"/>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17. İki-Mərhələli Təhlükəsiz Karantin Bərpası (Staged Recovery) — </w:t>
      </w:r>
      <w:r>
        <w:rPr>
          <w:rFonts w:ascii="Calibri" w:hAnsi="Calibri"/>
          <w:i/>
          <w:color w:val="64748B"/>
          <w:sz w:val="19"/>
        </w:rPr>
        <w:t>Faylların birbaşa canlı anbara deyil, əvvəlcə təcrid olunmuş karantin sahəsinə çıxarılaraq yoxlandığını nümayiş etdirir.</w:t>
      </w:r>
    </w:p>
    <w:p>
      <w:pPr>
        <w:keepNext/>
        <w:spacing w:before="160" w:after="40"/>
        <w:jc w:val="center"/>
      </w:pPr>
      <w:r>
        <w:drawing>
          <wp:inline xmlns:a="http://schemas.openxmlformats.org/drawingml/2006/main" xmlns:pic="http://schemas.openxmlformats.org/drawingml/2006/picture">
            <wp:extent cx="5303520" cy="2981774"/>
            <wp:docPr id="18" name="Picture 18"/>
            <wp:cNvGraphicFramePr>
              <a:graphicFrameLocks noChangeAspect="1"/>
            </wp:cNvGraphicFramePr>
            <a:graphic>
              <a:graphicData uri="http://schemas.openxmlformats.org/drawingml/2006/picture">
                <pic:pic>
                  <pic:nvPicPr>
                    <pic:cNvPr id="0" name="16_verified_recovery_100_percent.png"/>
                    <pic:cNvPicPr/>
                  </pic:nvPicPr>
                  <pic:blipFill>
                    <a:blip r:embed="rId27"/>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18. 100% Təsdiqlənmiş Kriptoqrafik Bərpa (Verified Recovery) — </w:t>
      </w:r>
      <w:r>
        <w:rPr>
          <w:rFonts w:ascii="Calibri" w:hAnsi="Calibri"/>
          <w:i/>
          <w:color w:val="64748B"/>
          <w:sz w:val="19"/>
        </w:rPr>
        <w:t>Bütün 20 faylın VALID statusu aldığını və Merkle kökünün ilkin vəziyyətlə bərabərliyini əks etdirir.</w:t>
      </w:r>
    </w:p>
    <w:p>
      <w:pPr>
        <w:keepNext/>
        <w:spacing w:before="400" w:after="120"/>
      </w:pPr>
      <w:r>
        <w:rPr>
          <w:rFonts w:ascii="Calibri" w:hAnsi="Calibri"/>
          <w:b/>
          <w:color w:val="0F172A"/>
          <w:sz w:val="32"/>
        </w:rPr>
        <w:t>9. Nəzarət Paneli (SOC Dashboard) və Canlı Simulyasiya Ssenarisi</w:t>
      </w:r>
    </w:p>
    <w:p>
      <w:pPr>
        <w:spacing w:line="276" w:lineRule="auto" w:after="100"/>
      </w:pPr>
      <w:r>
        <w:rPr>
          <w:rFonts w:ascii="Calibri" w:hAnsi="Calibri"/>
          <w:color w:val="1E293B"/>
          <w:sz w:val="22"/>
        </w:rPr>
        <w:t>CloudRDR nəzarət paneli təhlükəsizlik əməliyyatları mərkəzinin (SOC) analitikləri üçün hazırlanmış müasir veb interfeysidir. Panel heç bir ağır xarici kitabxana olmadan, təmiz HTML5, CSS3 Tokens və asinxron JavaScript vasitəsilə qurulmuşdur. İnterfeysdə qeyri-ciddi emojilərdən istifadə edilməmiş, bütün vizual elementlər rəsmi SVG ikonlarla dizayn olunmuşdur.</w:t>
      </w:r>
    </w:p>
    <w:p>
      <w:pPr>
        <w:keepNext/>
        <w:spacing w:before="160" w:after="40"/>
        <w:jc w:val="center"/>
      </w:pPr>
      <w:r>
        <w:drawing>
          <wp:inline xmlns:a="http://schemas.openxmlformats.org/drawingml/2006/main" xmlns:pic="http://schemas.openxmlformats.org/drawingml/2006/picture">
            <wp:extent cx="5303520" cy="2981774"/>
            <wp:docPr id="19" name="Picture 19"/>
            <wp:cNvGraphicFramePr>
              <a:graphicFrameLocks noChangeAspect="1"/>
            </wp:cNvGraphicFramePr>
            <a:graphic>
              <a:graphicData uri="http://schemas.openxmlformats.org/drawingml/2006/picture">
                <pic:pic>
                  <pic:nvPicPr>
                    <pic:cNvPr id="0" name="24_live_demo_soc_kpi_action_bar.png"/>
                    <pic:cNvPicPr/>
                  </pic:nvPicPr>
                  <pic:blipFill>
                    <a:blip r:embed="rId28"/>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19. Canlı SOC Nümayiş Paneli və Əsas Göstəricilər Kartı (KPI) — </w:t>
      </w:r>
      <w:r>
        <w:rPr>
          <w:rFonts w:ascii="Calibri" w:hAnsi="Calibri"/>
          <w:i/>
          <w:color w:val="64748B"/>
          <w:sz w:val="19"/>
        </w:rPr>
        <w:t>Protected Storage, Containment SLA, Detection Velocity və Zero-Trust Recovery metrikalarını real vaxtda təqdim edir.</w:t>
      </w:r>
    </w:p>
    <w:p>
      <w:pPr>
        <w:keepNext/>
        <w:spacing w:before="160" w:after="40"/>
        <w:jc w:val="center"/>
      </w:pPr>
      <w:r>
        <w:drawing>
          <wp:inline xmlns:a="http://schemas.openxmlformats.org/drawingml/2006/main" xmlns:pic="http://schemas.openxmlformats.org/drawingml/2006/picture">
            <wp:extent cx="5303520" cy="2981774"/>
            <wp:docPr id="20" name="Picture 20"/>
            <wp:cNvGraphicFramePr>
              <a:graphicFrameLocks noChangeAspect="1"/>
            </wp:cNvGraphicFramePr>
            <a:graphic>
              <a:graphicData uri="http://schemas.openxmlformats.org/drawingml/2006/picture">
                <pic:pic>
                  <pic:nvPicPr>
                    <pic:cNvPr id="0" name="24_live_demo_soc_kpi_action_bar.png"/>
                    <pic:cNvPicPr/>
                  </pic:nvPicPr>
                  <pic:blipFill>
                    <a:blip r:embed="rId28"/>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20. SOC İdarəetmə Panelinin İlkin Sakit (Calm) Vəziyyəti — </w:t>
      </w:r>
      <w:r>
        <w:rPr>
          <w:rFonts w:ascii="Calibri" w:hAnsi="Calibri"/>
          <w:i/>
          <w:color w:val="64748B"/>
          <w:sz w:val="19"/>
        </w:rPr>
        <w:t>Sistemdə bütün faylların qorunduğunu və Merkle kökünün bütöv olduğunu nümayiş etdirir.</w:t>
      </w:r>
    </w:p>
    <w:p>
      <w:pPr>
        <w:keepNext/>
        <w:spacing w:before="400" w:after="120"/>
      </w:pPr>
      <w:r>
        <w:rPr>
          <w:rFonts w:ascii="Calibri" w:hAnsi="Calibri"/>
          <w:b/>
          <w:color w:val="0F172A"/>
          <w:sz w:val="32"/>
        </w:rPr>
        <w:t>10. Eksperimental Qiymətləndirmə, M1–M9 Metrikləri və Hədd Süpürməsi</w:t>
      </w:r>
    </w:p>
    <w:p>
      <w:pPr>
        <w:spacing w:line="276" w:lineRule="auto" w:after="100"/>
      </w:pPr>
      <w:r>
        <w:rPr>
          <w:rFonts w:ascii="Calibri" w:hAnsi="Calibri"/>
          <w:color w:val="1E293B"/>
          <w:sz w:val="22"/>
        </w:rPr>
        <w:t>CloudRDR sisteminin etibarlılığını və performansını sübut etmək üçün QA mühəndisi Tural Səfərovun rəhbərliyi ilə iki genişmiqyaslı eksperiment həyata keçirilmişdir: 9 formal qiymətləndirmə metriki (M1–M9) və 7 fərqli dəyişiklik həddini əhatə edən Hədd Süpürmə (Threshold Sweep) sınağı.</w:t>
      </w:r>
    </w:p>
    <w:p>
      <w:pPr>
        <w:keepNext/>
        <w:spacing w:before="280" w:after="80"/>
      </w:pPr>
      <w:r>
        <w:rPr>
          <w:rFonts w:ascii="Calibri" w:hAnsi="Calibri"/>
          <w:b/>
          <w:color w:val="1E293B"/>
          <w:sz w:val="26"/>
        </w:rPr>
        <w:t>10.1. Rəsmi Qiymətləndirmə Metrikləri (M1–M9)</w:t>
      </w:r>
    </w:p>
    <w:p>
      <w:pPr>
        <w:spacing w:line="276" w:lineRule="auto" w:after="100"/>
      </w:pPr>
      <w:r>
        <w:rPr>
          <w:rFonts w:ascii="Calibri" w:hAnsi="Calibri"/>
          <w:color w:val="1E293B"/>
          <w:sz w:val="22"/>
        </w:rPr>
        <w:t>Cədvəl 5. CloudRDR Formal Qiymətləndirmə Metrikləri Nəticələri</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864"/>
            <w:shd w:fill="0F172A"/>
            <w:tcMar>
              <w:top w:w="90" w:type="dxa"/>
              <w:bottom w:w="90" w:type="dxa"/>
              <w:left w:w="100" w:type="dxa"/>
              <w:right w:w="100" w:type="dxa"/>
            </w:tcMar>
          </w:tcPr>
          <w:p>
            <w:pPr>
              <w:jc w:val="center"/>
            </w:pPr>
            <w:r>
              <w:rPr>
                <w:rFonts w:ascii="Calibri" w:hAnsi="Calibri"/>
                <w:b/>
                <w:color w:val="FFFFFF"/>
                <w:sz w:val="19"/>
              </w:rPr>
              <w:t>ID</w:t>
            </w:r>
          </w:p>
        </w:tc>
        <w:tc>
          <w:tcPr>
            <w:tcW w:type="dxa" w:w="3168"/>
            <w:shd w:fill="0F172A"/>
            <w:tcMar>
              <w:top w:w="90" w:type="dxa"/>
              <w:bottom w:w="90" w:type="dxa"/>
              <w:left w:w="100" w:type="dxa"/>
              <w:right w:w="100" w:type="dxa"/>
            </w:tcMar>
          </w:tcPr>
          <w:p>
            <w:pPr>
              <w:jc w:val="left"/>
            </w:pPr>
            <w:r>
              <w:rPr>
                <w:rFonts w:ascii="Calibri" w:hAnsi="Calibri"/>
                <w:b/>
                <w:color w:val="FFFFFF"/>
                <w:sz w:val="19"/>
              </w:rPr>
              <w:t>Metrik Parametrinin Adı</w:t>
            </w:r>
          </w:p>
        </w:tc>
        <w:tc>
          <w:tcPr>
            <w:tcW w:type="dxa" w:w="2160"/>
            <w:shd w:fill="0F172A"/>
            <w:tcMar>
              <w:top w:w="90" w:type="dxa"/>
              <w:bottom w:w="90" w:type="dxa"/>
              <w:left w:w="100" w:type="dxa"/>
              <w:right w:w="100" w:type="dxa"/>
            </w:tcMar>
          </w:tcPr>
          <w:p>
            <w:pPr>
              <w:jc w:val="left"/>
            </w:pPr>
            <w:r>
              <w:rPr>
                <w:rFonts w:ascii="Calibri" w:hAnsi="Calibri"/>
                <w:b/>
                <w:color w:val="FFFFFF"/>
                <w:sz w:val="19"/>
              </w:rPr>
              <w:t>Məqsəd / SLA Hədəfi</w:t>
            </w:r>
          </w:p>
        </w:tc>
        <w:tc>
          <w:tcPr>
            <w:tcW w:type="dxa" w:w="2160"/>
            <w:shd w:fill="0F172A"/>
            <w:tcMar>
              <w:top w:w="90" w:type="dxa"/>
              <w:bottom w:w="90" w:type="dxa"/>
              <w:left w:w="100" w:type="dxa"/>
              <w:right w:w="100" w:type="dxa"/>
            </w:tcMar>
          </w:tcPr>
          <w:p>
            <w:pPr>
              <w:jc w:val="center"/>
            </w:pPr>
            <w:r>
              <w:rPr>
                <w:rFonts w:ascii="Calibri" w:hAnsi="Calibri"/>
                <w:b/>
                <w:color w:val="FFFFFF"/>
                <w:sz w:val="19"/>
              </w:rPr>
              <w:t>Real Ölçülmüş Dəyər</w:t>
            </w:r>
          </w:p>
        </w:tc>
        <w:tc>
          <w:tcPr>
            <w:tcW w:type="dxa" w:w="1152"/>
            <w:shd w:fill="0F172A"/>
            <w:tcMar>
              <w:top w:w="90" w:type="dxa"/>
              <w:bottom w:w="90" w:type="dxa"/>
              <w:left w:w="100" w:type="dxa"/>
              <w:right w:w="100" w:type="dxa"/>
            </w:tcMar>
          </w:tcPr>
          <w:p>
            <w:pPr>
              <w:jc w:val="center"/>
            </w:pPr>
            <w:r>
              <w:rPr>
                <w:rFonts w:ascii="Calibri" w:hAnsi="Calibri"/>
                <w:b/>
                <w:color w:val="FFFFFF"/>
                <w:sz w:val="19"/>
              </w:rPr>
              <w:t>Status</w:t>
            </w:r>
          </w:p>
        </w:tc>
        <w:tc>
          <w:tcPr>
            <w:tcW w:type="dxa" w:w="1512"/>
          </w:tcPr>
          <w:p/>
        </w:tc>
      </w:tr>
      <w:tr>
        <w:tc>
          <w:tcPr>
            <w:tcW w:type="dxa" w:w="864"/>
            <w:shd w:fill="FFFFFF"/>
            <w:tcMar>
              <w:top w:w="70" w:type="dxa"/>
              <w:bottom w:w="70" w:type="dxa"/>
              <w:left w:w="100" w:type="dxa"/>
              <w:right w:w="100" w:type="dxa"/>
            </w:tcMar>
          </w:tcPr>
          <w:p>
            <w:pPr>
              <w:jc w:val="center"/>
            </w:pPr>
            <w:r>
              <w:rPr>
                <w:rFonts w:ascii="Calibri" w:hAnsi="Calibri"/>
                <w:color w:val="1E293B"/>
                <w:sz w:val="18"/>
              </w:rPr>
              <w:t>M1</w:t>
            </w:r>
          </w:p>
        </w:tc>
        <w:tc>
          <w:tcPr>
            <w:tcW w:type="dxa" w:w="3168"/>
            <w:shd w:fill="FFFFFF"/>
            <w:tcMar>
              <w:top w:w="70" w:type="dxa"/>
              <w:bottom w:w="70" w:type="dxa"/>
              <w:left w:w="100" w:type="dxa"/>
              <w:right w:w="100" w:type="dxa"/>
            </w:tcMar>
          </w:tcPr>
          <w:p>
            <w:pPr>
              <w:jc w:val="left"/>
            </w:pPr>
            <w:r>
              <w:rPr>
                <w:rFonts w:ascii="Calibri" w:hAnsi="Calibri"/>
                <w:color w:val="1E293B"/>
                <w:sz w:val="18"/>
              </w:rPr>
              <w:t>Ransomware Aşkarlama Gecikməsi</w:t>
            </w:r>
          </w:p>
        </w:tc>
        <w:tc>
          <w:tcPr>
            <w:tcW w:type="dxa" w:w="2160"/>
            <w:shd w:fill="FFFFFF"/>
            <w:tcMar>
              <w:top w:w="70" w:type="dxa"/>
              <w:bottom w:w="70" w:type="dxa"/>
              <w:left w:w="100" w:type="dxa"/>
              <w:right w:w="100" w:type="dxa"/>
            </w:tcMar>
          </w:tcPr>
          <w:p>
            <w:pPr>
              <w:jc w:val="left"/>
            </w:pPr>
            <w:r>
              <w:rPr>
                <w:rFonts w:ascii="Calibri" w:hAnsi="Calibri"/>
                <w:color w:val="1E293B"/>
                <w:sz w:val="18"/>
              </w:rPr>
              <w:t>&lt; 60,000 ms (SLA)</w:t>
            </w:r>
          </w:p>
        </w:tc>
        <w:tc>
          <w:tcPr>
            <w:tcW w:type="dxa" w:w="2160"/>
            <w:shd w:fill="FFFFFF"/>
            <w:tcMar>
              <w:top w:w="70" w:type="dxa"/>
              <w:bottom w:w="70" w:type="dxa"/>
              <w:left w:w="100" w:type="dxa"/>
              <w:right w:w="100" w:type="dxa"/>
            </w:tcMar>
          </w:tcPr>
          <w:p>
            <w:pPr>
              <w:jc w:val="center"/>
            </w:pPr>
            <w:r>
              <w:rPr>
                <w:rFonts w:ascii="Calibri" w:hAnsi="Calibri"/>
                <w:color w:val="1E293B"/>
                <w:sz w:val="18"/>
              </w:rPr>
              <w:t>200.11 ms</w:t>
            </w:r>
          </w:p>
        </w:tc>
        <w:tc>
          <w:tcPr>
            <w:tcW w:type="dxa" w:w="1152"/>
            <w:shd w:fill="FFFFFF"/>
            <w:tcMar>
              <w:top w:w="70" w:type="dxa"/>
              <w:bottom w:w="70" w:type="dxa"/>
              <w:left w:w="100" w:type="dxa"/>
              <w:right w:w="100" w:type="dxa"/>
            </w:tcMar>
          </w:tcPr>
          <w:p>
            <w:pPr>
              <w:jc w:val="center"/>
            </w:pPr>
            <w:r>
              <w:rPr>
                <w:rFonts w:ascii="Calibri" w:hAnsi="Calibri"/>
                <w:color w:val="1E293B"/>
                <w:sz w:val="18"/>
              </w:rPr>
              <w:t>PASSED</w:t>
            </w:r>
          </w:p>
        </w:tc>
        <w:tc>
          <w:tcPr>
            <w:tcW w:type="dxa" w:w="1512"/>
          </w:tcPr>
          <w:p/>
        </w:tc>
      </w:tr>
      <w:tr>
        <w:tc>
          <w:tcPr>
            <w:tcW w:type="dxa" w:w="864"/>
            <w:shd w:fill="F8FAFC"/>
            <w:tcMar>
              <w:top w:w="70" w:type="dxa"/>
              <w:bottom w:w="70" w:type="dxa"/>
              <w:left w:w="100" w:type="dxa"/>
              <w:right w:w="100" w:type="dxa"/>
            </w:tcMar>
          </w:tcPr>
          <w:p>
            <w:pPr>
              <w:jc w:val="center"/>
            </w:pPr>
            <w:r>
              <w:rPr>
                <w:rFonts w:ascii="Calibri" w:hAnsi="Calibri"/>
                <w:color w:val="1E293B"/>
                <w:sz w:val="18"/>
              </w:rPr>
              <w:t>M2</w:t>
            </w:r>
          </w:p>
        </w:tc>
        <w:tc>
          <w:tcPr>
            <w:tcW w:type="dxa" w:w="3168"/>
            <w:shd w:fill="F8FAFC"/>
            <w:tcMar>
              <w:top w:w="70" w:type="dxa"/>
              <w:bottom w:w="70" w:type="dxa"/>
              <w:left w:w="100" w:type="dxa"/>
              <w:right w:w="100" w:type="dxa"/>
            </w:tcMar>
          </w:tcPr>
          <w:p>
            <w:pPr>
              <w:jc w:val="left"/>
            </w:pPr>
            <w:r>
              <w:rPr>
                <w:rFonts w:ascii="Calibri" w:hAnsi="Calibri"/>
                <w:color w:val="1E293B"/>
                <w:sz w:val="18"/>
              </w:rPr>
              <w:t>Hesabın Avtomatik Dondurulması</w:t>
            </w:r>
          </w:p>
        </w:tc>
        <w:tc>
          <w:tcPr>
            <w:tcW w:type="dxa" w:w="2160"/>
            <w:shd w:fill="F8FAFC"/>
            <w:tcMar>
              <w:top w:w="70" w:type="dxa"/>
              <w:bottom w:w="70" w:type="dxa"/>
              <w:left w:w="100" w:type="dxa"/>
              <w:right w:w="100" w:type="dxa"/>
            </w:tcMar>
          </w:tcPr>
          <w:p>
            <w:pPr>
              <w:jc w:val="left"/>
            </w:pPr>
            <w:r>
              <w:rPr>
                <w:rFonts w:ascii="Calibri" w:hAnsi="Calibri"/>
                <w:color w:val="1E293B"/>
                <w:sz w:val="18"/>
              </w:rPr>
              <w:t>&lt; 10,000 ms (SLA)</w:t>
            </w:r>
          </w:p>
        </w:tc>
        <w:tc>
          <w:tcPr>
            <w:tcW w:type="dxa" w:w="2160"/>
            <w:shd w:fill="F8FAFC"/>
            <w:tcMar>
              <w:top w:w="70" w:type="dxa"/>
              <w:bottom w:w="70" w:type="dxa"/>
              <w:left w:w="100" w:type="dxa"/>
              <w:right w:w="100" w:type="dxa"/>
            </w:tcMar>
          </w:tcPr>
          <w:p>
            <w:pPr>
              <w:jc w:val="center"/>
            </w:pPr>
            <w:r>
              <w:rPr>
                <w:rFonts w:ascii="Calibri" w:hAnsi="Calibri"/>
                <w:color w:val="1E293B"/>
                <w:sz w:val="18"/>
              </w:rPr>
              <w:t>0.24 ms</w:t>
            </w:r>
          </w:p>
        </w:tc>
        <w:tc>
          <w:tcPr>
            <w:tcW w:type="dxa" w:w="1152"/>
            <w:shd w:fill="F8FAFC"/>
            <w:tcMar>
              <w:top w:w="70" w:type="dxa"/>
              <w:bottom w:w="70" w:type="dxa"/>
              <w:left w:w="100" w:type="dxa"/>
              <w:right w:w="100" w:type="dxa"/>
            </w:tcMar>
          </w:tcPr>
          <w:p>
            <w:pPr>
              <w:jc w:val="center"/>
            </w:pPr>
            <w:r>
              <w:rPr>
                <w:rFonts w:ascii="Calibri" w:hAnsi="Calibri"/>
                <w:color w:val="1E293B"/>
                <w:sz w:val="18"/>
              </w:rPr>
              <w:t>PASSED</w:t>
            </w:r>
          </w:p>
        </w:tc>
        <w:tc>
          <w:tcPr>
            <w:tcW w:type="dxa" w:w="1512"/>
          </w:tcPr>
          <w:p/>
        </w:tc>
      </w:tr>
      <w:tr>
        <w:tc>
          <w:tcPr>
            <w:tcW w:type="dxa" w:w="864"/>
            <w:shd w:fill="FFFFFF"/>
            <w:tcMar>
              <w:top w:w="70" w:type="dxa"/>
              <w:bottom w:w="70" w:type="dxa"/>
              <w:left w:w="100" w:type="dxa"/>
              <w:right w:w="100" w:type="dxa"/>
            </w:tcMar>
          </w:tcPr>
          <w:p>
            <w:pPr>
              <w:jc w:val="center"/>
            </w:pPr>
            <w:r>
              <w:rPr>
                <w:rFonts w:ascii="Calibri" w:hAnsi="Calibri"/>
                <w:color w:val="1E293B"/>
                <w:sz w:val="18"/>
              </w:rPr>
              <w:t>M3</w:t>
            </w:r>
          </w:p>
        </w:tc>
        <w:tc>
          <w:tcPr>
            <w:tcW w:type="dxa" w:w="3168"/>
            <w:shd w:fill="FFFFFF"/>
            <w:tcMar>
              <w:top w:w="70" w:type="dxa"/>
              <w:bottom w:w="70" w:type="dxa"/>
              <w:left w:w="100" w:type="dxa"/>
              <w:right w:w="100" w:type="dxa"/>
            </w:tcMar>
          </w:tcPr>
          <w:p>
            <w:pPr>
              <w:jc w:val="left"/>
            </w:pPr>
            <w:r>
              <w:rPr>
                <w:rFonts w:ascii="Calibri" w:hAnsi="Calibri"/>
                <w:color w:val="1E293B"/>
                <w:sz w:val="18"/>
              </w:rPr>
              <w:t>Qanuni Kütləvi Yükləmədə FP Faizi</w:t>
            </w:r>
          </w:p>
        </w:tc>
        <w:tc>
          <w:tcPr>
            <w:tcW w:type="dxa" w:w="2160"/>
            <w:shd w:fill="FFFFFF"/>
            <w:tcMar>
              <w:top w:w="70" w:type="dxa"/>
              <w:bottom w:w="70" w:type="dxa"/>
              <w:left w:w="100" w:type="dxa"/>
              <w:right w:w="100" w:type="dxa"/>
            </w:tcMar>
          </w:tcPr>
          <w:p>
            <w:pPr>
              <w:jc w:val="left"/>
            </w:pPr>
            <w:r>
              <w:rPr>
                <w:rFonts w:ascii="Calibri" w:hAnsi="Calibri"/>
                <w:color w:val="1E293B"/>
                <w:sz w:val="18"/>
              </w:rPr>
              <w:t>0.00% (Allowlist qorunması)</w:t>
            </w:r>
          </w:p>
        </w:tc>
        <w:tc>
          <w:tcPr>
            <w:tcW w:type="dxa" w:w="2160"/>
            <w:shd w:fill="FFFFFF"/>
            <w:tcMar>
              <w:top w:w="70" w:type="dxa"/>
              <w:bottom w:w="70" w:type="dxa"/>
              <w:left w:w="100" w:type="dxa"/>
              <w:right w:w="100" w:type="dxa"/>
            </w:tcMar>
          </w:tcPr>
          <w:p>
            <w:pPr>
              <w:jc w:val="center"/>
            </w:pPr>
            <w:r>
              <w:rPr>
                <w:rFonts w:ascii="Calibri" w:hAnsi="Calibri"/>
                <w:color w:val="1E293B"/>
                <w:sz w:val="18"/>
              </w:rPr>
              <w:t>0.00% (Normal)</w:t>
            </w:r>
          </w:p>
        </w:tc>
        <w:tc>
          <w:tcPr>
            <w:tcW w:type="dxa" w:w="1152"/>
            <w:shd w:fill="FFFFFF"/>
            <w:tcMar>
              <w:top w:w="70" w:type="dxa"/>
              <w:bottom w:w="70" w:type="dxa"/>
              <w:left w:w="100" w:type="dxa"/>
              <w:right w:w="100" w:type="dxa"/>
            </w:tcMar>
          </w:tcPr>
          <w:p>
            <w:pPr>
              <w:jc w:val="center"/>
            </w:pPr>
            <w:r>
              <w:rPr>
                <w:rFonts w:ascii="Calibri" w:hAnsi="Calibri"/>
                <w:color w:val="1E293B"/>
                <w:sz w:val="18"/>
              </w:rPr>
              <w:t>PASSED</w:t>
            </w:r>
          </w:p>
        </w:tc>
        <w:tc>
          <w:tcPr>
            <w:tcW w:type="dxa" w:w="1512"/>
          </w:tcPr>
          <w:p/>
        </w:tc>
      </w:tr>
      <w:tr>
        <w:tc>
          <w:tcPr>
            <w:tcW w:type="dxa" w:w="864"/>
            <w:shd w:fill="F8FAFC"/>
            <w:tcMar>
              <w:top w:w="70" w:type="dxa"/>
              <w:bottom w:w="70" w:type="dxa"/>
              <w:left w:w="100" w:type="dxa"/>
              <w:right w:w="100" w:type="dxa"/>
            </w:tcMar>
          </w:tcPr>
          <w:p>
            <w:pPr>
              <w:jc w:val="center"/>
            </w:pPr>
            <w:r>
              <w:rPr>
                <w:rFonts w:ascii="Calibri" w:hAnsi="Calibri"/>
                <w:color w:val="1E293B"/>
                <w:sz w:val="18"/>
              </w:rPr>
              <w:t>M4</w:t>
            </w:r>
          </w:p>
        </w:tc>
        <w:tc>
          <w:tcPr>
            <w:tcW w:type="dxa" w:w="3168"/>
            <w:shd w:fill="F8FAFC"/>
            <w:tcMar>
              <w:top w:w="70" w:type="dxa"/>
              <w:bottom w:w="70" w:type="dxa"/>
              <w:left w:w="100" w:type="dxa"/>
              <w:right w:w="100" w:type="dxa"/>
            </w:tcMar>
          </w:tcPr>
          <w:p>
            <w:pPr>
              <w:jc w:val="left"/>
            </w:pPr>
            <w:r>
              <w:rPr>
                <w:rFonts w:ascii="Calibri" w:hAnsi="Calibri"/>
                <w:color w:val="1E293B"/>
                <w:sz w:val="18"/>
              </w:rPr>
              <w:t>Canary Tələ Aşkarlama Gecikməsi</w:t>
            </w:r>
          </w:p>
        </w:tc>
        <w:tc>
          <w:tcPr>
            <w:tcW w:type="dxa" w:w="2160"/>
            <w:shd w:fill="F8FAFC"/>
            <w:tcMar>
              <w:top w:w="70" w:type="dxa"/>
              <w:bottom w:w="70" w:type="dxa"/>
              <w:left w:w="100" w:type="dxa"/>
              <w:right w:w="100" w:type="dxa"/>
            </w:tcMar>
          </w:tcPr>
          <w:p>
            <w:pPr>
              <w:jc w:val="left"/>
            </w:pPr>
            <w:r>
              <w:rPr>
                <w:rFonts w:ascii="Calibri" w:hAnsi="Calibri"/>
                <w:color w:val="1E293B"/>
                <w:sz w:val="18"/>
              </w:rPr>
              <w:t>&lt; 1,000 ms (Ani)</w:t>
            </w:r>
          </w:p>
        </w:tc>
        <w:tc>
          <w:tcPr>
            <w:tcW w:type="dxa" w:w="2160"/>
            <w:shd w:fill="F8FAFC"/>
            <w:tcMar>
              <w:top w:w="70" w:type="dxa"/>
              <w:bottom w:w="70" w:type="dxa"/>
              <w:left w:w="100" w:type="dxa"/>
              <w:right w:w="100" w:type="dxa"/>
            </w:tcMar>
          </w:tcPr>
          <w:p>
            <w:pPr>
              <w:jc w:val="center"/>
            </w:pPr>
            <w:r>
              <w:rPr>
                <w:rFonts w:ascii="Calibri" w:hAnsi="Calibri"/>
                <w:color w:val="1E293B"/>
                <w:sz w:val="18"/>
              </w:rPr>
              <w:t>0.602 ms</w:t>
            </w:r>
          </w:p>
        </w:tc>
        <w:tc>
          <w:tcPr>
            <w:tcW w:type="dxa" w:w="1152"/>
            <w:shd w:fill="F8FAFC"/>
            <w:tcMar>
              <w:top w:w="70" w:type="dxa"/>
              <w:bottom w:w="70" w:type="dxa"/>
              <w:left w:w="100" w:type="dxa"/>
              <w:right w:w="100" w:type="dxa"/>
            </w:tcMar>
          </w:tcPr>
          <w:p>
            <w:pPr>
              <w:jc w:val="center"/>
            </w:pPr>
            <w:r>
              <w:rPr>
                <w:rFonts w:ascii="Calibri" w:hAnsi="Calibri"/>
                <w:color w:val="1E293B"/>
                <w:sz w:val="18"/>
              </w:rPr>
              <w:t>PASSED</w:t>
            </w:r>
          </w:p>
        </w:tc>
        <w:tc>
          <w:tcPr>
            <w:tcW w:type="dxa" w:w="1512"/>
          </w:tcPr>
          <w:p/>
        </w:tc>
      </w:tr>
      <w:tr>
        <w:tc>
          <w:tcPr>
            <w:tcW w:type="dxa" w:w="864"/>
            <w:shd w:fill="FFFFFF"/>
            <w:tcMar>
              <w:top w:w="70" w:type="dxa"/>
              <w:bottom w:w="70" w:type="dxa"/>
              <w:left w:w="100" w:type="dxa"/>
              <w:right w:w="100" w:type="dxa"/>
            </w:tcMar>
          </w:tcPr>
          <w:p>
            <w:pPr>
              <w:jc w:val="center"/>
            </w:pPr>
            <w:r>
              <w:rPr>
                <w:rFonts w:ascii="Calibri" w:hAnsi="Calibri"/>
                <w:color w:val="1E293B"/>
                <w:sz w:val="18"/>
              </w:rPr>
              <w:t>M5</w:t>
            </w:r>
          </w:p>
        </w:tc>
        <w:tc>
          <w:tcPr>
            <w:tcW w:type="dxa" w:w="3168"/>
            <w:shd w:fill="FFFFFF"/>
            <w:tcMar>
              <w:top w:w="70" w:type="dxa"/>
              <w:bottom w:w="70" w:type="dxa"/>
              <w:left w:w="100" w:type="dxa"/>
              <w:right w:w="100" w:type="dxa"/>
            </w:tcMar>
          </w:tcPr>
          <w:p>
            <w:pPr>
              <w:jc w:val="left"/>
            </w:pPr>
            <w:r>
              <w:rPr>
                <w:rFonts w:ascii="Calibri" w:hAnsi="Calibri"/>
                <w:color w:val="1E293B"/>
                <w:sz w:val="18"/>
              </w:rPr>
              <w:t>AEAD Saxtalaşdırmanın Aşkarlanması</w:t>
            </w:r>
          </w:p>
        </w:tc>
        <w:tc>
          <w:tcPr>
            <w:tcW w:type="dxa" w:w="2160"/>
            <w:shd w:fill="FFFFFF"/>
            <w:tcMar>
              <w:top w:w="70" w:type="dxa"/>
              <w:bottom w:w="70" w:type="dxa"/>
              <w:left w:w="100" w:type="dxa"/>
              <w:right w:w="100" w:type="dxa"/>
            </w:tcMar>
          </w:tcPr>
          <w:p>
            <w:pPr>
              <w:jc w:val="left"/>
            </w:pPr>
            <w:r>
              <w:rPr>
                <w:rFonts w:ascii="Calibri" w:hAnsi="Calibri"/>
                <w:color w:val="1E293B"/>
                <w:sz w:val="18"/>
              </w:rPr>
              <w:t>100.00% (Tamper Reject)</w:t>
            </w:r>
          </w:p>
        </w:tc>
        <w:tc>
          <w:tcPr>
            <w:tcW w:type="dxa" w:w="2160"/>
            <w:shd w:fill="FFFFFF"/>
            <w:tcMar>
              <w:top w:w="70" w:type="dxa"/>
              <w:bottom w:w="70" w:type="dxa"/>
              <w:left w:w="100" w:type="dxa"/>
              <w:right w:w="100" w:type="dxa"/>
            </w:tcMar>
          </w:tcPr>
          <w:p>
            <w:pPr>
              <w:jc w:val="center"/>
            </w:pPr>
            <w:r>
              <w:rPr>
                <w:rFonts w:ascii="Calibri" w:hAnsi="Calibri"/>
                <w:color w:val="1E293B"/>
                <w:sz w:val="18"/>
              </w:rPr>
              <w:t>100.00%</w:t>
            </w:r>
          </w:p>
        </w:tc>
        <w:tc>
          <w:tcPr>
            <w:tcW w:type="dxa" w:w="1152"/>
            <w:shd w:fill="FFFFFF"/>
            <w:tcMar>
              <w:top w:w="70" w:type="dxa"/>
              <w:bottom w:w="70" w:type="dxa"/>
              <w:left w:w="100" w:type="dxa"/>
              <w:right w:w="100" w:type="dxa"/>
            </w:tcMar>
          </w:tcPr>
          <w:p>
            <w:pPr>
              <w:jc w:val="center"/>
            </w:pPr>
            <w:r>
              <w:rPr>
                <w:rFonts w:ascii="Calibri" w:hAnsi="Calibri"/>
                <w:color w:val="1E293B"/>
                <w:sz w:val="18"/>
              </w:rPr>
              <w:t>PASSED</w:t>
            </w:r>
          </w:p>
        </w:tc>
        <w:tc>
          <w:tcPr>
            <w:tcW w:type="dxa" w:w="1512"/>
          </w:tcPr>
          <w:p/>
        </w:tc>
      </w:tr>
      <w:tr>
        <w:tc>
          <w:tcPr>
            <w:tcW w:type="dxa" w:w="864"/>
            <w:shd w:fill="F8FAFC"/>
            <w:tcMar>
              <w:top w:w="70" w:type="dxa"/>
              <w:bottom w:w="70" w:type="dxa"/>
              <w:left w:w="100" w:type="dxa"/>
              <w:right w:w="100" w:type="dxa"/>
            </w:tcMar>
          </w:tcPr>
          <w:p>
            <w:pPr>
              <w:jc w:val="center"/>
            </w:pPr>
            <w:r>
              <w:rPr>
                <w:rFonts w:ascii="Calibri" w:hAnsi="Calibri"/>
                <w:color w:val="1E293B"/>
                <w:sz w:val="18"/>
              </w:rPr>
              <w:t>M6</w:t>
            </w:r>
          </w:p>
        </w:tc>
        <w:tc>
          <w:tcPr>
            <w:tcW w:type="dxa" w:w="3168"/>
            <w:shd w:fill="F8FAFC"/>
            <w:tcMar>
              <w:top w:w="70" w:type="dxa"/>
              <w:bottom w:w="70" w:type="dxa"/>
              <w:left w:w="100" w:type="dxa"/>
              <w:right w:w="100" w:type="dxa"/>
            </w:tcMar>
          </w:tcPr>
          <w:p>
            <w:pPr>
              <w:jc w:val="left"/>
            </w:pPr>
            <w:r>
              <w:rPr>
                <w:rFonts w:ascii="Calibri" w:hAnsi="Calibri"/>
                <w:color w:val="1E293B"/>
                <w:sz w:val="18"/>
              </w:rPr>
              <w:t>Kriptoqrafik Bərpa Dürüstlüyü</w:t>
            </w:r>
          </w:p>
        </w:tc>
        <w:tc>
          <w:tcPr>
            <w:tcW w:type="dxa" w:w="2160"/>
            <w:shd w:fill="F8FAFC"/>
            <w:tcMar>
              <w:top w:w="70" w:type="dxa"/>
              <w:bottom w:w="70" w:type="dxa"/>
              <w:left w:w="100" w:type="dxa"/>
              <w:right w:w="100" w:type="dxa"/>
            </w:tcMar>
          </w:tcPr>
          <w:p>
            <w:pPr>
              <w:jc w:val="left"/>
            </w:pPr>
            <w:r>
              <w:rPr>
                <w:rFonts w:ascii="Calibri" w:hAnsi="Calibri"/>
                <w:color w:val="1E293B"/>
                <w:sz w:val="18"/>
              </w:rPr>
              <w:t>100.00% VALID</w:t>
            </w:r>
          </w:p>
        </w:tc>
        <w:tc>
          <w:tcPr>
            <w:tcW w:type="dxa" w:w="2160"/>
            <w:shd w:fill="F8FAFC"/>
            <w:tcMar>
              <w:top w:w="70" w:type="dxa"/>
              <w:bottom w:w="70" w:type="dxa"/>
              <w:left w:w="100" w:type="dxa"/>
              <w:right w:w="100" w:type="dxa"/>
            </w:tcMar>
          </w:tcPr>
          <w:p>
            <w:pPr>
              <w:jc w:val="center"/>
            </w:pPr>
            <w:r>
              <w:rPr>
                <w:rFonts w:ascii="Calibri" w:hAnsi="Calibri"/>
                <w:color w:val="1E293B"/>
                <w:sz w:val="18"/>
              </w:rPr>
              <w:t>100.0% VALID (20/20)</w:t>
            </w:r>
          </w:p>
        </w:tc>
        <w:tc>
          <w:tcPr>
            <w:tcW w:type="dxa" w:w="1152"/>
            <w:shd w:fill="F8FAFC"/>
            <w:tcMar>
              <w:top w:w="70" w:type="dxa"/>
              <w:bottom w:w="70" w:type="dxa"/>
              <w:left w:w="100" w:type="dxa"/>
              <w:right w:w="100" w:type="dxa"/>
            </w:tcMar>
          </w:tcPr>
          <w:p>
            <w:pPr>
              <w:jc w:val="center"/>
            </w:pPr>
            <w:r>
              <w:rPr>
                <w:rFonts w:ascii="Calibri" w:hAnsi="Calibri"/>
                <w:color w:val="1E293B"/>
                <w:sz w:val="18"/>
              </w:rPr>
              <w:t>PASSED</w:t>
            </w:r>
          </w:p>
        </w:tc>
        <w:tc>
          <w:tcPr>
            <w:tcW w:type="dxa" w:w="1512"/>
          </w:tcPr>
          <w:p/>
        </w:tc>
      </w:tr>
      <w:tr>
        <w:tc>
          <w:tcPr>
            <w:tcW w:type="dxa" w:w="864"/>
            <w:shd w:fill="FFFFFF"/>
            <w:tcMar>
              <w:top w:w="70" w:type="dxa"/>
              <w:bottom w:w="70" w:type="dxa"/>
              <w:left w:w="100" w:type="dxa"/>
              <w:right w:w="100" w:type="dxa"/>
            </w:tcMar>
          </w:tcPr>
          <w:p>
            <w:pPr>
              <w:jc w:val="center"/>
            </w:pPr>
            <w:r>
              <w:rPr>
                <w:rFonts w:ascii="Calibri" w:hAnsi="Calibri"/>
                <w:color w:val="1E293B"/>
                <w:sz w:val="18"/>
              </w:rPr>
              <w:t>M7</w:t>
            </w:r>
          </w:p>
        </w:tc>
        <w:tc>
          <w:tcPr>
            <w:tcW w:type="dxa" w:w="3168"/>
            <w:shd w:fill="FFFFFF"/>
            <w:tcMar>
              <w:top w:w="70" w:type="dxa"/>
              <w:bottom w:w="70" w:type="dxa"/>
              <w:left w:w="100" w:type="dxa"/>
              <w:right w:w="100" w:type="dxa"/>
            </w:tcMar>
          </w:tcPr>
          <w:p>
            <w:pPr>
              <w:jc w:val="left"/>
            </w:pPr>
            <w:r>
              <w:rPr>
                <w:rFonts w:ascii="Calibri" w:hAnsi="Calibri"/>
                <w:color w:val="1E293B"/>
                <w:sz w:val="18"/>
              </w:rPr>
              <w:t>Audit Zəncirinin Tamlığı</w:t>
            </w:r>
          </w:p>
        </w:tc>
        <w:tc>
          <w:tcPr>
            <w:tcW w:type="dxa" w:w="2160"/>
            <w:shd w:fill="FFFFFF"/>
            <w:tcMar>
              <w:top w:w="70" w:type="dxa"/>
              <w:bottom w:w="70" w:type="dxa"/>
              <w:left w:w="100" w:type="dxa"/>
              <w:right w:w="100" w:type="dxa"/>
            </w:tcMar>
          </w:tcPr>
          <w:p>
            <w:pPr>
              <w:jc w:val="left"/>
            </w:pPr>
            <w:r>
              <w:rPr>
                <w:rFonts w:ascii="Calibri" w:hAnsi="Calibri"/>
                <w:color w:val="1E293B"/>
                <w:sz w:val="18"/>
              </w:rPr>
              <w:t>100.00% Valid Chain</w:t>
            </w:r>
          </w:p>
        </w:tc>
        <w:tc>
          <w:tcPr>
            <w:tcW w:type="dxa" w:w="2160"/>
            <w:shd w:fill="FFFFFF"/>
            <w:tcMar>
              <w:top w:w="70" w:type="dxa"/>
              <w:bottom w:w="70" w:type="dxa"/>
              <w:left w:w="100" w:type="dxa"/>
              <w:right w:w="100" w:type="dxa"/>
            </w:tcMar>
          </w:tcPr>
          <w:p>
            <w:pPr>
              <w:jc w:val="center"/>
            </w:pPr>
            <w:r>
              <w:rPr>
                <w:rFonts w:ascii="Calibri" w:hAnsi="Calibri"/>
                <w:color w:val="1E293B"/>
                <w:sz w:val="18"/>
              </w:rPr>
              <w:t>100.00% (Bütöv)</w:t>
            </w:r>
          </w:p>
        </w:tc>
        <w:tc>
          <w:tcPr>
            <w:tcW w:type="dxa" w:w="1152"/>
            <w:shd w:fill="FFFFFF"/>
            <w:tcMar>
              <w:top w:w="70" w:type="dxa"/>
              <w:bottom w:w="70" w:type="dxa"/>
              <w:left w:w="100" w:type="dxa"/>
              <w:right w:w="100" w:type="dxa"/>
            </w:tcMar>
          </w:tcPr>
          <w:p>
            <w:pPr>
              <w:jc w:val="center"/>
            </w:pPr>
            <w:r>
              <w:rPr>
                <w:rFonts w:ascii="Calibri" w:hAnsi="Calibri"/>
                <w:color w:val="1E293B"/>
                <w:sz w:val="18"/>
              </w:rPr>
              <w:t>PASSED</w:t>
            </w:r>
          </w:p>
        </w:tc>
        <w:tc>
          <w:tcPr>
            <w:tcW w:type="dxa" w:w="1512"/>
          </w:tcPr>
          <w:p/>
        </w:tc>
      </w:tr>
      <w:tr>
        <w:tc>
          <w:tcPr>
            <w:tcW w:type="dxa" w:w="864"/>
            <w:shd w:fill="F8FAFC"/>
            <w:tcMar>
              <w:top w:w="70" w:type="dxa"/>
              <w:bottom w:w="70" w:type="dxa"/>
              <w:left w:w="100" w:type="dxa"/>
              <w:right w:w="100" w:type="dxa"/>
            </w:tcMar>
          </w:tcPr>
          <w:p>
            <w:pPr>
              <w:jc w:val="center"/>
            </w:pPr>
            <w:r>
              <w:rPr>
                <w:rFonts w:ascii="Calibri" w:hAnsi="Calibri"/>
                <w:color w:val="1E293B"/>
                <w:sz w:val="18"/>
              </w:rPr>
              <w:t>M8</w:t>
            </w:r>
          </w:p>
        </w:tc>
        <w:tc>
          <w:tcPr>
            <w:tcW w:type="dxa" w:w="3168"/>
            <w:shd w:fill="F8FAFC"/>
            <w:tcMar>
              <w:top w:w="70" w:type="dxa"/>
              <w:bottom w:w="70" w:type="dxa"/>
              <w:left w:w="100" w:type="dxa"/>
              <w:right w:w="100" w:type="dxa"/>
            </w:tcMar>
          </w:tcPr>
          <w:p>
            <w:pPr>
              <w:jc w:val="left"/>
            </w:pPr>
            <w:r>
              <w:rPr>
                <w:rFonts w:ascii="Calibri" w:hAnsi="Calibri"/>
                <w:color w:val="1E293B"/>
                <w:sz w:val="18"/>
              </w:rPr>
              <w:t>İlkin Heşləmə Buraxılış Qabiliyyəti</w:t>
            </w:r>
          </w:p>
        </w:tc>
        <w:tc>
          <w:tcPr>
            <w:tcW w:type="dxa" w:w="2160"/>
            <w:shd w:fill="F8FAFC"/>
            <w:tcMar>
              <w:top w:w="70" w:type="dxa"/>
              <w:bottom w:w="70" w:type="dxa"/>
              <w:left w:w="100" w:type="dxa"/>
              <w:right w:w="100" w:type="dxa"/>
            </w:tcMar>
          </w:tcPr>
          <w:p>
            <w:pPr>
              <w:jc w:val="left"/>
            </w:pPr>
            <w:r>
              <w:rPr>
                <w:rFonts w:ascii="Calibri" w:hAnsi="Calibri"/>
                <w:color w:val="1E293B"/>
                <w:sz w:val="18"/>
              </w:rPr>
              <w:t>&gt; 10.0 MB/s</w:t>
            </w:r>
          </w:p>
        </w:tc>
        <w:tc>
          <w:tcPr>
            <w:tcW w:type="dxa" w:w="2160"/>
            <w:shd w:fill="F8FAFC"/>
            <w:tcMar>
              <w:top w:w="70" w:type="dxa"/>
              <w:bottom w:w="70" w:type="dxa"/>
              <w:left w:w="100" w:type="dxa"/>
              <w:right w:w="100" w:type="dxa"/>
            </w:tcMar>
          </w:tcPr>
          <w:p>
            <w:pPr>
              <w:jc w:val="center"/>
            </w:pPr>
            <w:r>
              <w:rPr>
                <w:rFonts w:ascii="Calibri" w:hAnsi="Calibri"/>
                <w:color w:val="1E293B"/>
                <w:sz w:val="18"/>
              </w:rPr>
              <w:t>16.43 MB/s (262.8 f/s)</w:t>
            </w:r>
          </w:p>
        </w:tc>
        <w:tc>
          <w:tcPr>
            <w:tcW w:type="dxa" w:w="1152"/>
            <w:shd w:fill="F8FAFC"/>
            <w:tcMar>
              <w:top w:w="70" w:type="dxa"/>
              <w:bottom w:w="70" w:type="dxa"/>
              <w:left w:w="100" w:type="dxa"/>
              <w:right w:w="100" w:type="dxa"/>
            </w:tcMar>
          </w:tcPr>
          <w:p>
            <w:pPr>
              <w:jc w:val="center"/>
            </w:pPr>
            <w:r>
              <w:rPr>
                <w:rFonts w:ascii="Calibri" w:hAnsi="Calibri"/>
                <w:color w:val="1E293B"/>
                <w:sz w:val="18"/>
              </w:rPr>
              <w:t>PASSED</w:t>
            </w:r>
          </w:p>
        </w:tc>
        <w:tc>
          <w:tcPr>
            <w:tcW w:type="dxa" w:w="1512"/>
          </w:tcPr>
          <w:p/>
        </w:tc>
      </w:tr>
      <w:tr>
        <w:tc>
          <w:tcPr>
            <w:tcW w:type="dxa" w:w="864"/>
            <w:shd w:fill="FFFFFF"/>
            <w:tcMar>
              <w:top w:w="70" w:type="dxa"/>
              <w:bottom w:w="70" w:type="dxa"/>
              <w:left w:w="100" w:type="dxa"/>
              <w:right w:w="100" w:type="dxa"/>
            </w:tcMar>
          </w:tcPr>
          <w:p>
            <w:pPr>
              <w:jc w:val="center"/>
            </w:pPr>
            <w:r>
              <w:rPr>
                <w:rFonts w:ascii="Calibri" w:hAnsi="Calibri"/>
                <w:color w:val="1E293B"/>
                <w:sz w:val="18"/>
              </w:rPr>
              <w:t>M9</w:t>
            </w:r>
          </w:p>
        </w:tc>
        <w:tc>
          <w:tcPr>
            <w:tcW w:type="dxa" w:w="3168"/>
            <w:shd w:fill="FFFFFF"/>
            <w:tcMar>
              <w:top w:w="70" w:type="dxa"/>
              <w:bottom w:w="70" w:type="dxa"/>
              <w:left w:w="100" w:type="dxa"/>
              <w:right w:w="100" w:type="dxa"/>
            </w:tcMar>
          </w:tcPr>
          <w:p>
            <w:pPr>
              <w:jc w:val="left"/>
            </w:pPr>
            <w:r>
              <w:rPr>
                <w:rFonts w:ascii="Calibri" w:hAnsi="Calibri"/>
                <w:color w:val="1E293B"/>
                <w:sz w:val="18"/>
              </w:rPr>
              <w:t>Sistemin Əməli Yaddaş (RAM) Yükü</w:t>
            </w:r>
          </w:p>
        </w:tc>
        <w:tc>
          <w:tcPr>
            <w:tcW w:type="dxa" w:w="2160"/>
            <w:shd w:fill="FFFFFF"/>
            <w:tcMar>
              <w:top w:w="70" w:type="dxa"/>
              <w:bottom w:w="70" w:type="dxa"/>
              <w:left w:w="100" w:type="dxa"/>
              <w:right w:w="100" w:type="dxa"/>
            </w:tcMar>
          </w:tcPr>
          <w:p>
            <w:pPr>
              <w:jc w:val="left"/>
            </w:pPr>
            <w:r>
              <w:rPr>
                <w:rFonts w:ascii="Calibri" w:hAnsi="Calibri"/>
                <w:color w:val="1E293B"/>
                <w:sz w:val="18"/>
              </w:rPr>
              <w:t>&lt; 100 MB Delta</w:t>
            </w:r>
          </w:p>
        </w:tc>
        <w:tc>
          <w:tcPr>
            <w:tcW w:type="dxa" w:w="2160"/>
            <w:shd w:fill="FFFFFF"/>
            <w:tcMar>
              <w:top w:w="70" w:type="dxa"/>
              <w:bottom w:w="70" w:type="dxa"/>
              <w:left w:w="100" w:type="dxa"/>
              <w:right w:w="100" w:type="dxa"/>
            </w:tcMar>
          </w:tcPr>
          <w:p>
            <w:pPr>
              <w:jc w:val="center"/>
            </w:pPr>
            <w:r>
              <w:rPr>
                <w:rFonts w:ascii="Calibri" w:hAnsi="Calibri"/>
                <w:color w:val="1E293B"/>
                <w:sz w:val="18"/>
              </w:rPr>
              <w:t>1.60 MB (Total: 11.2 MB)</w:t>
            </w:r>
          </w:p>
        </w:tc>
        <w:tc>
          <w:tcPr>
            <w:tcW w:type="dxa" w:w="1152"/>
            <w:shd w:fill="FFFFFF"/>
            <w:tcMar>
              <w:top w:w="70" w:type="dxa"/>
              <w:bottom w:w="70" w:type="dxa"/>
              <w:left w:w="100" w:type="dxa"/>
              <w:right w:w="100" w:type="dxa"/>
            </w:tcMar>
          </w:tcPr>
          <w:p>
            <w:pPr>
              <w:jc w:val="center"/>
            </w:pPr>
            <w:r>
              <w:rPr>
                <w:rFonts w:ascii="Calibri" w:hAnsi="Calibri"/>
                <w:color w:val="1E293B"/>
                <w:sz w:val="18"/>
              </w:rPr>
              <w:t>PASSED</w:t>
            </w:r>
          </w:p>
        </w:tc>
        <w:tc>
          <w:tcPr>
            <w:tcW w:type="dxa" w:w="1512"/>
          </w:tcPr>
          <w:p/>
        </w:tc>
      </w:tr>
    </w:tbl>
    <w:p>
      <w:pPr>
        <w:spacing w:after="80"/>
      </w:pPr>
    </w:p>
    <w:p>
      <w:pPr>
        <w:keepNext/>
        <w:spacing w:before="160" w:after="40"/>
        <w:jc w:val="center"/>
      </w:pPr>
      <w:r>
        <w:drawing>
          <wp:inline xmlns:a="http://schemas.openxmlformats.org/drawingml/2006/main" xmlns:pic="http://schemas.openxmlformats.org/drawingml/2006/picture">
            <wp:extent cx="5303520" cy="2603546"/>
            <wp:docPr id="21" name="Picture 21"/>
            <wp:cNvGraphicFramePr>
              <a:graphicFrameLocks noChangeAspect="1"/>
            </wp:cNvGraphicFramePr>
            <a:graphic>
              <a:graphicData uri="http://schemas.openxmlformats.org/drawingml/2006/picture">
                <pic:pic>
                  <pic:nvPicPr>
                    <pic:cNvPr id="0" name="17_metrics_harness_execution_table.png"/>
                    <pic:cNvPicPr/>
                  </pic:nvPicPr>
                  <pic:blipFill>
                    <a:blip r:embed="rId29"/>
                    <a:stretch>
                      <a:fillRect/>
                    </a:stretch>
                  </pic:blipFill>
                  <pic:spPr>
                    <a:xfrm>
                      <a:off x="0" y="0"/>
                      <a:ext cx="5303520" cy="2603546"/>
                    </a:xfrm>
                    <a:prstGeom prst="rect"/>
                  </pic:spPr>
                </pic:pic>
              </a:graphicData>
            </a:graphic>
          </wp:inline>
        </w:drawing>
      </w:r>
    </w:p>
    <w:p>
      <w:pPr>
        <w:spacing w:after="160"/>
        <w:jc w:val="center"/>
      </w:pPr>
      <w:r>
        <w:rPr>
          <w:rFonts w:ascii="Calibri" w:hAnsi="Calibri"/>
          <w:b/>
          <w:color w:val="334155"/>
          <w:sz w:val="19"/>
        </w:rPr>
        <w:t xml:space="preserve">Şəkil 21. Formal Qiymətləndirmə Metrikləri (M1–M9) Terminal İcra Nəticəsi — </w:t>
      </w:r>
      <w:r>
        <w:rPr>
          <w:rFonts w:ascii="Calibri" w:hAnsi="Calibri"/>
          <w:i/>
          <w:color w:val="64748B"/>
          <w:sz w:val="19"/>
        </w:rPr>
        <w:t>Bütün 9 metrikin hədəf SLA göstəricilərini üstələyərək PASSED olduğunu təsdiq edir.</w:t>
      </w:r>
    </w:p>
    <w:p>
      <w:pPr>
        <w:keepNext/>
        <w:spacing w:before="280" w:after="80"/>
      </w:pPr>
      <w:r>
        <w:rPr>
          <w:rFonts w:ascii="Calibri" w:hAnsi="Calibri"/>
          <w:b/>
          <w:color w:val="1E293B"/>
          <w:sz w:val="26"/>
        </w:rPr>
        <w:t>10.2. Hədd Süpürmə (Threshold Sweep) Eksperimenti</w:t>
      </w:r>
    </w:p>
    <w:p>
      <w:pPr>
        <w:spacing w:line="276" w:lineRule="auto" w:after="100"/>
      </w:pPr>
      <w:r>
        <w:rPr>
          <w:rFonts w:ascii="Calibri" w:hAnsi="Calibri"/>
          <w:color w:val="1E293B"/>
          <w:sz w:val="22"/>
        </w:rPr>
        <w:t>Optimal aşkarlama həddini elmi şəkildə müəyyən etmək üçün 14 fərqli sintetik ssenari (7 qanuni ofis fəaliyyəti və 7 ransomware hücum modeli) üzərində 1%-dən 80%-ə qədər hədd süpürməsi aparılmışdır.</w:t>
      </w:r>
    </w:p>
    <w:p>
      <w:pPr>
        <w:spacing w:line="276" w:lineRule="auto" w:after="100"/>
      </w:pPr>
      <w:r>
        <w:rPr>
          <w:rFonts w:ascii="Calibri" w:hAnsi="Calibri"/>
          <w:color w:val="1E293B"/>
          <w:sz w:val="22"/>
        </w:rPr>
        <w:t>Cədvəl 6. Aşkarlama Həddi Süpürməsi (Threshold Sweep) Matrisi və Dəqiqlik Analizi</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152"/>
            <w:shd w:fill="0F172A"/>
            <w:tcMar>
              <w:top w:w="90" w:type="dxa"/>
              <w:bottom w:w="90" w:type="dxa"/>
              <w:left w:w="100" w:type="dxa"/>
              <w:right w:w="100" w:type="dxa"/>
            </w:tcMar>
          </w:tcPr>
          <w:p>
            <w:pPr>
              <w:jc w:val="center"/>
            </w:pPr>
            <w:r>
              <w:rPr>
                <w:rFonts w:ascii="Calibri" w:hAnsi="Calibri"/>
                <w:b/>
                <w:color w:val="FFFFFF"/>
                <w:sz w:val="19"/>
              </w:rPr>
              <w:t>Hədd</w:t>
            </w:r>
          </w:p>
        </w:tc>
        <w:tc>
          <w:tcPr>
            <w:tcW w:type="dxa" w:w="864"/>
            <w:shd w:fill="0F172A"/>
            <w:tcMar>
              <w:top w:w="90" w:type="dxa"/>
              <w:bottom w:w="90" w:type="dxa"/>
              <w:left w:w="100" w:type="dxa"/>
              <w:right w:w="100" w:type="dxa"/>
            </w:tcMar>
          </w:tcPr>
          <w:p>
            <w:pPr>
              <w:jc w:val="center"/>
            </w:pPr>
            <w:r>
              <w:rPr>
                <w:rFonts w:ascii="Calibri" w:hAnsi="Calibri"/>
                <w:b/>
                <w:color w:val="FFFFFF"/>
                <w:sz w:val="19"/>
              </w:rPr>
              <w:t>TP</w:t>
            </w:r>
          </w:p>
        </w:tc>
        <w:tc>
          <w:tcPr>
            <w:tcW w:type="dxa" w:w="864"/>
            <w:shd w:fill="0F172A"/>
            <w:tcMar>
              <w:top w:w="90" w:type="dxa"/>
              <w:bottom w:w="90" w:type="dxa"/>
              <w:left w:w="100" w:type="dxa"/>
              <w:right w:w="100" w:type="dxa"/>
            </w:tcMar>
          </w:tcPr>
          <w:p>
            <w:pPr>
              <w:jc w:val="center"/>
            </w:pPr>
            <w:r>
              <w:rPr>
                <w:rFonts w:ascii="Calibri" w:hAnsi="Calibri"/>
                <w:b/>
                <w:color w:val="FFFFFF"/>
                <w:sz w:val="19"/>
              </w:rPr>
              <w:t>FP</w:t>
            </w:r>
          </w:p>
        </w:tc>
        <w:tc>
          <w:tcPr>
            <w:tcW w:type="dxa" w:w="864"/>
            <w:shd w:fill="0F172A"/>
            <w:tcMar>
              <w:top w:w="90" w:type="dxa"/>
              <w:bottom w:w="90" w:type="dxa"/>
              <w:left w:w="100" w:type="dxa"/>
              <w:right w:w="100" w:type="dxa"/>
            </w:tcMar>
          </w:tcPr>
          <w:p>
            <w:pPr>
              <w:jc w:val="center"/>
            </w:pPr>
            <w:r>
              <w:rPr>
                <w:rFonts w:ascii="Calibri" w:hAnsi="Calibri"/>
                <w:b/>
                <w:color w:val="FFFFFF"/>
                <w:sz w:val="19"/>
              </w:rPr>
              <w:t>TN</w:t>
            </w:r>
          </w:p>
        </w:tc>
        <w:tc>
          <w:tcPr>
            <w:tcW w:type="dxa" w:w="864"/>
            <w:shd w:fill="0F172A"/>
            <w:tcMar>
              <w:top w:w="90" w:type="dxa"/>
              <w:bottom w:w="90" w:type="dxa"/>
              <w:left w:w="100" w:type="dxa"/>
              <w:right w:w="100" w:type="dxa"/>
            </w:tcMar>
          </w:tcPr>
          <w:p>
            <w:pPr>
              <w:jc w:val="center"/>
            </w:pPr>
            <w:r>
              <w:rPr>
                <w:rFonts w:ascii="Calibri" w:hAnsi="Calibri"/>
                <w:b/>
                <w:color w:val="FFFFFF"/>
                <w:sz w:val="19"/>
              </w:rPr>
              <w:t>FN</w:t>
            </w:r>
          </w:p>
        </w:tc>
        <w:tc>
          <w:tcPr>
            <w:tcW w:type="dxa" w:w="1296"/>
            <w:shd w:fill="0F172A"/>
            <w:tcMar>
              <w:top w:w="90" w:type="dxa"/>
              <w:bottom w:w="90" w:type="dxa"/>
              <w:left w:w="100" w:type="dxa"/>
              <w:right w:w="100" w:type="dxa"/>
            </w:tcMar>
          </w:tcPr>
          <w:p>
            <w:pPr>
              <w:jc w:val="center"/>
            </w:pPr>
            <w:r>
              <w:rPr>
                <w:rFonts w:ascii="Calibri" w:hAnsi="Calibri"/>
                <w:b/>
                <w:color w:val="FFFFFF"/>
                <w:sz w:val="19"/>
              </w:rPr>
              <w:t>Precision</w:t>
            </w:r>
          </w:p>
        </w:tc>
        <w:tc>
          <w:tcPr>
            <w:tcW w:type="dxa" w:w="1296"/>
            <w:shd w:fill="0F172A"/>
            <w:tcMar>
              <w:top w:w="90" w:type="dxa"/>
              <w:bottom w:w="90" w:type="dxa"/>
              <w:left w:w="100" w:type="dxa"/>
              <w:right w:w="100" w:type="dxa"/>
            </w:tcMar>
          </w:tcPr>
          <w:p>
            <w:pPr>
              <w:jc w:val="center"/>
            </w:pPr>
            <w:r>
              <w:rPr>
                <w:rFonts w:ascii="Calibri" w:hAnsi="Calibri"/>
                <w:b/>
                <w:color w:val="FFFFFF"/>
                <w:sz w:val="19"/>
              </w:rPr>
              <w:t>Recall</w:t>
            </w:r>
          </w:p>
        </w:tc>
        <w:tc>
          <w:tcPr>
            <w:tcW w:type="dxa" w:w="1296"/>
            <w:shd w:fill="0F172A"/>
            <w:tcMar>
              <w:top w:w="90" w:type="dxa"/>
              <w:bottom w:w="90" w:type="dxa"/>
              <w:left w:w="100" w:type="dxa"/>
              <w:right w:w="100" w:type="dxa"/>
            </w:tcMar>
          </w:tcPr>
          <w:p>
            <w:pPr>
              <w:jc w:val="center"/>
            </w:pPr>
            <w:r>
              <w:rPr>
                <w:rFonts w:ascii="Calibri" w:hAnsi="Calibri"/>
                <w:b/>
                <w:color w:val="FFFFFF"/>
                <w:sz w:val="19"/>
              </w:rPr>
              <w:t>Specificity</w:t>
            </w:r>
          </w:p>
        </w:tc>
        <w:tc>
          <w:tcPr>
            <w:tcW w:type="dxa" w:w="1152"/>
            <w:shd w:fill="0F172A"/>
            <w:tcMar>
              <w:top w:w="90" w:type="dxa"/>
              <w:bottom w:w="90" w:type="dxa"/>
              <w:left w:w="100" w:type="dxa"/>
              <w:right w:w="100" w:type="dxa"/>
            </w:tcMar>
          </w:tcPr>
          <w:p>
            <w:pPr>
              <w:jc w:val="center"/>
            </w:pPr>
            <w:r>
              <w:rPr>
                <w:rFonts w:ascii="Calibri" w:hAnsi="Calibri"/>
                <w:b/>
                <w:color w:val="FFFFFF"/>
                <w:sz w:val="19"/>
              </w:rPr>
              <w:t>F1-Score</w:t>
            </w:r>
          </w:p>
        </w:tc>
      </w:tr>
      <w:tr>
        <w:tc>
          <w:tcPr>
            <w:tcW w:type="dxa" w:w="1152"/>
            <w:shd w:fill="FFFFFF"/>
            <w:tcMar>
              <w:top w:w="70" w:type="dxa"/>
              <w:bottom w:w="70" w:type="dxa"/>
              <w:left w:w="100" w:type="dxa"/>
              <w:right w:w="100" w:type="dxa"/>
            </w:tcMar>
          </w:tcPr>
          <w:p>
            <w:pPr>
              <w:jc w:val="center"/>
            </w:pPr>
            <w:r>
              <w:rPr>
                <w:rFonts w:ascii="Calibri" w:hAnsi="Calibri"/>
                <w:color w:val="1E293B"/>
                <w:sz w:val="18"/>
              </w:rPr>
              <w:t>1%</w:t>
            </w:r>
          </w:p>
        </w:tc>
        <w:tc>
          <w:tcPr>
            <w:tcW w:type="dxa" w:w="864"/>
            <w:shd w:fill="FFFFFF"/>
            <w:tcMar>
              <w:top w:w="70" w:type="dxa"/>
              <w:bottom w:w="70" w:type="dxa"/>
              <w:left w:w="100" w:type="dxa"/>
              <w:right w:w="100" w:type="dxa"/>
            </w:tcMar>
          </w:tcPr>
          <w:p>
            <w:pPr>
              <w:jc w:val="center"/>
            </w:pPr>
            <w:r>
              <w:rPr>
                <w:rFonts w:ascii="Calibri" w:hAnsi="Calibri"/>
                <w:color w:val="1E293B"/>
                <w:sz w:val="18"/>
              </w:rPr>
              <w:t>7</w:t>
            </w:r>
          </w:p>
        </w:tc>
        <w:tc>
          <w:tcPr>
            <w:tcW w:type="dxa" w:w="864"/>
            <w:shd w:fill="FFFFFF"/>
            <w:tcMar>
              <w:top w:w="70" w:type="dxa"/>
              <w:bottom w:w="70" w:type="dxa"/>
              <w:left w:w="100" w:type="dxa"/>
              <w:right w:w="100" w:type="dxa"/>
            </w:tcMar>
          </w:tcPr>
          <w:p>
            <w:pPr>
              <w:jc w:val="center"/>
            </w:pPr>
            <w:r>
              <w:rPr>
                <w:rFonts w:ascii="Calibri" w:hAnsi="Calibri"/>
                <w:color w:val="1E293B"/>
                <w:sz w:val="18"/>
              </w:rPr>
              <w:t>5</w:t>
            </w:r>
          </w:p>
        </w:tc>
        <w:tc>
          <w:tcPr>
            <w:tcW w:type="dxa" w:w="864"/>
            <w:shd w:fill="FFFFFF"/>
            <w:tcMar>
              <w:top w:w="70" w:type="dxa"/>
              <w:bottom w:w="70" w:type="dxa"/>
              <w:left w:w="100" w:type="dxa"/>
              <w:right w:w="100" w:type="dxa"/>
            </w:tcMar>
          </w:tcPr>
          <w:p>
            <w:pPr>
              <w:jc w:val="center"/>
            </w:pPr>
            <w:r>
              <w:rPr>
                <w:rFonts w:ascii="Calibri" w:hAnsi="Calibri"/>
                <w:color w:val="1E293B"/>
                <w:sz w:val="18"/>
              </w:rPr>
              <w:t>2</w:t>
            </w:r>
          </w:p>
        </w:tc>
        <w:tc>
          <w:tcPr>
            <w:tcW w:type="dxa" w:w="864"/>
            <w:shd w:fill="FFFFFF"/>
            <w:tcMar>
              <w:top w:w="70" w:type="dxa"/>
              <w:bottom w:w="70" w:type="dxa"/>
              <w:left w:w="100" w:type="dxa"/>
              <w:right w:w="100" w:type="dxa"/>
            </w:tcMar>
          </w:tcPr>
          <w:p>
            <w:pPr>
              <w:jc w:val="center"/>
            </w:pPr>
            <w:r>
              <w:rPr>
                <w:rFonts w:ascii="Calibri" w:hAnsi="Calibri"/>
                <w:color w:val="1E293B"/>
                <w:sz w:val="18"/>
              </w:rPr>
              <w:t>0</w:t>
            </w:r>
          </w:p>
        </w:tc>
        <w:tc>
          <w:tcPr>
            <w:tcW w:type="dxa" w:w="1296"/>
            <w:shd w:fill="FFFFFF"/>
            <w:tcMar>
              <w:top w:w="70" w:type="dxa"/>
              <w:bottom w:w="70" w:type="dxa"/>
              <w:left w:w="100" w:type="dxa"/>
              <w:right w:w="100" w:type="dxa"/>
            </w:tcMar>
          </w:tcPr>
          <w:p>
            <w:pPr>
              <w:jc w:val="center"/>
            </w:pPr>
            <w:r>
              <w:rPr>
                <w:rFonts w:ascii="Calibri" w:hAnsi="Calibri"/>
                <w:color w:val="1E293B"/>
                <w:sz w:val="18"/>
              </w:rPr>
              <w:t>58.3%</w:t>
            </w:r>
          </w:p>
        </w:tc>
        <w:tc>
          <w:tcPr>
            <w:tcW w:type="dxa" w:w="1296"/>
            <w:shd w:fill="FFFFFF"/>
            <w:tcMar>
              <w:top w:w="70" w:type="dxa"/>
              <w:bottom w:w="70" w:type="dxa"/>
              <w:left w:w="100" w:type="dxa"/>
              <w:right w:w="100" w:type="dxa"/>
            </w:tcMar>
          </w:tcPr>
          <w:p>
            <w:pPr>
              <w:jc w:val="center"/>
            </w:pPr>
            <w:r>
              <w:rPr>
                <w:rFonts w:ascii="Calibri" w:hAnsi="Calibri"/>
                <w:color w:val="1E293B"/>
                <w:sz w:val="18"/>
              </w:rPr>
              <w:t>100.0%</w:t>
            </w:r>
          </w:p>
        </w:tc>
        <w:tc>
          <w:tcPr>
            <w:tcW w:type="dxa" w:w="1296"/>
            <w:shd w:fill="FFFFFF"/>
            <w:tcMar>
              <w:top w:w="70" w:type="dxa"/>
              <w:bottom w:w="70" w:type="dxa"/>
              <w:left w:w="100" w:type="dxa"/>
              <w:right w:w="100" w:type="dxa"/>
            </w:tcMar>
          </w:tcPr>
          <w:p>
            <w:pPr>
              <w:jc w:val="center"/>
            </w:pPr>
            <w:r>
              <w:rPr>
                <w:rFonts w:ascii="Calibri" w:hAnsi="Calibri"/>
                <w:color w:val="1E293B"/>
                <w:sz w:val="18"/>
              </w:rPr>
              <w:t>28.6%</w:t>
            </w:r>
          </w:p>
        </w:tc>
        <w:tc>
          <w:tcPr>
            <w:tcW w:type="dxa" w:w="1152"/>
            <w:shd w:fill="FFFFFF"/>
            <w:tcMar>
              <w:top w:w="70" w:type="dxa"/>
              <w:bottom w:w="70" w:type="dxa"/>
              <w:left w:w="100" w:type="dxa"/>
              <w:right w:w="100" w:type="dxa"/>
            </w:tcMar>
          </w:tcPr>
          <w:p>
            <w:pPr>
              <w:jc w:val="center"/>
            </w:pPr>
            <w:r>
              <w:rPr>
                <w:rFonts w:ascii="Calibri" w:hAnsi="Calibri"/>
                <w:color w:val="1E293B"/>
                <w:sz w:val="18"/>
              </w:rPr>
              <w:t>0.737</w:t>
            </w:r>
          </w:p>
        </w:tc>
      </w:tr>
      <w:tr>
        <w:tc>
          <w:tcPr>
            <w:tcW w:type="dxa" w:w="1152"/>
            <w:shd w:fill="F8FAFC"/>
            <w:tcMar>
              <w:top w:w="70" w:type="dxa"/>
              <w:bottom w:w="70" w:type="dxa"/>
              <w:left w:w="100" w:type="dxa"/>
              <w:right w:w="100" w:type="dxa"/>
            </w:tcMar>
          </w:tcPr>
          <w:p>
            <w:pPr>
              <w:jc w:val="center"/>
            </w:pPr>
            <w:r>
              <w:rPr>
                <w:rFonts w:ascii="Calibri" w:hAnsi="Calibri"/>
                <w:color w:val="1E293B"/>
                <w:sz w:val="18"/>
              </w:rPr>
              <w:t>5%</w:t>
            </w:r>
          </w:p>
        </w:tc>
        <w:tc>
          <w:tcPr>
            <w:tcW w:type="dxa" w:w="864"/>
            <w:shd w:fill="F8FAFC"/>
            <w:tcMar>
              <w:top w:w="70" w:type="dxa"/>
              <w:bottom w:w="70" w:type="dxa"/>
              <w:left w:w="100" w:type="dxa"/>
              <w:right w:w="100" w:type="dxa"/>
            </w:tcMar>
          </w:tcPr>
          <w:p>
            <w:pPr>
              <w:jc w:val="center"/>
            </w:pPr>
            <w:r>
              <w:rPr>
                <w:rFonts w:ascii="Calibri" w:hAnsi="Calibri"/>
                <w:color w:val="1E293B"/>
                <w:sz w:val="18"/>
              </w:rPr>
              <w:t>7</w:t>
            </w:r>
          </w:p>
        </w:tc>
        <w:tc>
          <w:tcPr>
            <w:tcW w:type="dxa" w:w="864"/>
            <w:shd w:fill="F8FAFC"/>
            <w:tcMar>
              <w:top w:w="70" w:type="dxa"/>
              <w:bottom w:w="70" w:type="dxa"/>
              <w:left w:w="100" w:type="dxa"/>
              <w:right w:w="100" w:type="dxa"/>
            </w:tcMar>
          </w:tcPr>
          <w:p>
            <w:pPr>
              <w:jc w:val="center"/>
            </w:pPr>
            <w:r>
              <w:rPr>
                <w:rFonts w:ascii="Calibri" w:hAnsi="Calibri"/>
                <w:color w:val="1E293B"/>
                <w:sz w:val="18"/>
              </w:rPr>
              <w:t>3</w:t>
            </w:r>
          </w:p>
        </w:tc>
        <w:tc>
          <w:tcPr>
            <w:tcW w:type="dxa" w:w="864"/>
            <w:shd w:fill="F8FAFC"/>
            <w:tcMar>
              <w:top w:w="70" w:type="dxa"/>
              <w:bottom w:w="70" w:type="dxa"/>
              <w:left w:w="100" w:type="dxa"/>
              <w:right w:w="100" w:type="dxa"/>
            </w:tcMar>
          </w:tcPr>
          <w:p>
            <w:pPr>
              <w:jc w:val="center"/>
            </w:pPr>
            <w:r>
              <w:rPr>
                <w:rFonts w:ascii="Calibri" w:hAnsi="Calibri"/>
                <w:color w:val="1E293B"/>
                <w:sz w:val="18"/>
              </w:rPr>
              <w:t>4</w:t>
            </w:r>
          </w:p>
        </w:tc>
        <w:tc>
          <w:tcPr>
            <w:tcW w:type="dxa" w:w="864"/>
            <w:shd w:fill="F8FAFC"/>
            <w:tcMar>
              <w:top w:w="70" w:type="dxa"/>
              <w:bottom w:w="70" w:type="dxa"/>
              <w:left w:w="100" w:type="dxa"/>
              <w:right w:w="100" w:type="dxa"/>
            </w:tcMar>
          </w:tcPr>
          <w:p>
            <w:pPr>
              <w:jc w:val="center"/>
            </w:pPr>
            <w:r>
              <w:rPr>
                <w:rFonts w:ascii="Calibri" w:hAnsi="Calibri"/>
                <w:color w:val="1E293B"/>
                <w:sz w:val="18"/>
              </w:rPr>
              <w:t>0</w:t>
            </w:r>
          </w:p>
        </w:tc>
        <w:tc>
          <w:tcPr>
            <w:tcW w:type="dxa" w:w="1296"/>
            <w:shd w:fill="F8FAFC"/>
            <w:tcMar>
              <w:top w:w="70" w:type="dxa"/>
              <w:bottom w:w="70" w:type="dxa"/>
              <w:left w:w="100" w:type="dxa"/>
              <w:right w:w="100" w:type="dxa"/>
            </w:tcMar>
          </w:tcPr>
          <w:p>
            <w:pPr>
              <w:jc w:val="center"/>
            </w:pPr>
            <w:r>
              <w:rPr>
                <w:rFonts w:ascii="Calibri" w:hAnsi="Calibri"/>
                <w:color w:val="1E293B"/>
                <w:sz w:val="18"/>
              </w:rPr>
              <w:t>70.0%</w:t>
            </w:r>
          </w:p>
        </w:tc>
        <w:tc>
          <w:tcPr>
            <w:tcW w:type="dxa" w:w="1296"/>
            <w:shd w:fill="F8FAFC"/>
            <w:tcMar>
              <w:top w:w="70" w:type="dxa"/>
              <w:bottom w:w="70" w:type="dxa"/>
              <w:left w:w="100" w:type="dxa"/>
              <w:right w:w="100" w:type="dxa"/>
            </w:tcMar>
          </w:tcPr>
          <w:p>
            <w:pPr>
              <w:jc w:val="center"/>
            </w:pPr>
            <w:r>
              <w:rPr>
                <w:rFonts w:ascii="Calibri" w:hAnsi="Calibri"/>
                <w:color w:val="1E293B"/>
                <w:sz w:val="18"/>
              </w:rPr>
              <w:t>100.0%</w:t>
            </w:r>
          </w:p>
        </w:tc>
        <w:tc>
          <w:tcPr>
            <w:tcW w:type="dxa" w:w="1296"/>
            <w:shd w:fill="F8FAFC"/>
            <w:tcMar>
              <w:top w:w="70" w:type="dxa"/>
              <w:bottom w:w="70" w:type="dxa"/>
              <w:left w:w="100" w:type="dxa"/>
              <w:right w:w="100" w:type="dxa"/>
            </w:tcMar>
          </w:tcPr>
          <w:p>
            <w:pPr>
              <w:jc w:val="center"/>
            </w:pPr>
            <w:r>
              <w:rPr>
                <w:rFonts w:ascii="Calibri" w:hAnsi="Calibri"/>
                <w:color w:val="1E293B"/>
                <w:sz w:val="18"/>
              </w:rPr>
              <w:t>57.1%</w:t>
            </w:r>
          </w:p>
        </w:tc>
        <w:tc>
          <w:tcPr>
            <w:tcW w:type="dxa" w:w="1152"/>
            <w:shd w:fill="F8FAFC"/>
            <w:tcMar>
              <w:top w:w="70" w:type="dxa"/>
              <w:bottom w:w="70" w:type="dxa"/>
              <w:left w:w="100" w:type="dxa"/>
              <w:right w:w="100" w:type="dxa"/>
            </w:tcMar>
          </w:tcPr>
          <w:p>
            <w:pPr>
              <w:jc w:val="center"/>
            </w:pPr>
            <w:r>
              <w:rPr>
                <w:rFonts w:ascii="Calibri" w:hAnsi="Calibri"/>
                <w:color w:val="1E293B"/>
                <w:sz w:val="18"/>
              </w:rPr>
              <w:t>0.824</w:t>
            </w:r>
          </w:p>
        </w:tc>
      </w:tr>
      <w:tr>
        <w:tc>
          <w:tcPr>
            <w:tcW w:type="dxa" w:w="1152"/>
            <w:shd w:fill="FFFFFF"/>
            <w:tcMar>
              <w:top w:w="70" w:type="dxa"/>
              <w:bottom w:w="70" w:type="dxa"/>
              <w:left w:w="100" w:type="dxa"/>
              <w:right w:w="100" w:type="dxa"/>
            </w:tcMar>
          </w:tcPr>
          <w:p>
            <w:pPr>
              <w:jc w:val="center"/>
            </w:pPr>
            <w:r>
              <w:rPr>
                <w:rFonts w:ascii="Calibri" w:hAnsi="Calibri"/>
                <w:color w:val="1E293B"/>
                <w:sz w:val="18"/>
              </w:rPr>
              <w:t>10%</w:t>
            </w:r>
          </w:p>
        </w:tc>
        <w:tc>
          <w:tcPr>
            <w:tcW w:type="dxa" w:w="864"/>
            <w:shd w:fill="FFFFFF"/>
            <w:tcMar>
              <w:top w:w="70" w:type="dxa"/>
              <w:bottom w:w="70" w:type="dxa"/>
              <w:left w:w="100" w:type="dxa"/>
              <w:right w:w="100" w:type="dxa"/>
            </w:tcMar>
          </w:tcPr>
          <w:p>
            <w:pPr>
              <w:jc w:val="center"/>
            </w:pPr>
            <w:r>
              <w:rPr>
                <w:rFonts w:ascii="Calibri" w:hAnsi="Calibri"/>
                <w:color w:val="1E293B"/>
                <w:sz w:val="18"/>
              </w:rPr>
              <w:t>7</w:t>
            </w:r>
          </w:p>
        </w:tc>
        <w:tc>
          <w:tcPr>
            <w:tcW w:type="dxa" w:w="864"/>
            <w:shd w:fill="FFFFFF"/>
            <w:tcMar>
              <w:top w:w="70" w:type="dxa"/>
              <w:bottom w:w="70" w:type="dxa"/>
              <w:left w:w="100" w:type="dxa"/>
              <w:right w:w="100" w:type="dxa"/>
            </w:tcMar>
          </w:tcPr>
          <w:p>
            <w:pPr>
              <w:jc w:val="center"/>
            </w:pPr>
            <w:r>
              <w:rPr>
                <w:rFonts w:ascii="Calibri" w:hAnsi="Calibri"/>
                <w:color w:val="1E293B"/>
                <w:sz w:val="18"/>
              </w:rPr>
              <w:t>2</w:t>
            </w:r>
          </w:p>
        </w:tc>
        <w:tc>
          <w:tcPr>
            <w:tcW w:type="dxa" w:w="864"/>
            <w:shd w:fill="FFFFFF"/>
            <w:tcMar>
              <w:top w:w="70" w:type="dxa"/>
              <w:bottom w:w="70" w:type="dxa"/>
              <w:left w:w="100" w:type="dxa"/>
              <w:right w:w="100" w:type="dxa"/>
            </w:tcMar>
          </w:tcPr>
          <w:p>
            <w:pPr>
              <w:jc w:val="center"/>
            </w:pPr>
            <w:r>
              <w:rPr>
                <w:rFonts w:ascii="Calibri" w:hAnsi="Calibri"/>
                <w:color w:val="1E293B"/>
                <w:sz w:val="18"/>
              </w:rPr>
              <w:t>5</w:t>
            </w:r>
          </w:p>
        </w:tc>
        <w:tc>
          <w:tcPr>
            <w:tcW w:type="dxa" w:w="864"/>
            <w:shd w:fill="FFFFFF"/>
            <w:tcMar>
              <w:top w:w="70" w:type="dxa"/>
              <w:bottom w:w="70" w:type="dxa"/>
              <w:left w:w="100" w:type="dxa"/>
              <w:right w:w="100" w:type="dxa"/>
            </w:tcMar>
          </w:tcPr>
          <w:p>
            <w:pPr>
              <w:jc w:val="center"/>
            </w:pPr>
            <w:r>
              <w:rPr>
                <w:rFonts w:ascii="Calibri" w:hAnsi="Calibri"/>
                <w:color w:val="1E293B"/>
                <w:sz w:val="18"/>
              </w:rPr>
              <w:t>0</w:t>
            </w:r>
          </w:p>
        </w:tc>
        <w:tc>
          <w:tcPr>
            <w:tcW w:type="dxa" w:w="1296"/>
            <w:shd w:fill="FFFFFF"/>
            <w:tcMar>
              <w:top w:w="70" w:type="dxa"/>
              <w:bottom w:w="70" w:type="dxa"/>
              <w:left w:w="100" w:type="dxa"/>
              <w:right w:w="100" w:type="dxa"/>
            </w:tcMar>
          </w:tcPr>
          <w:p>
            <w:pPr>
              <w:jc w:val="center"/>
            </w:pPr>
            <w:r>
              <w:rPr>
                <w:rFonts w:ascii="Calibri" w:hAnsi="Calibri"/>
                <w:color w:val="1E293B"/>
                <w:sz w:val="18"/>
              </w:rPr>
              <w:t>77.8%</w:t>
            </w:r>
          </w:p>
        </w:tc>
        <w:tc>
          <w:tcPr>
            <w:tcW w:type="dxa" w:w="1296"/>
            <w:shd w:fill="FFFFFF"/>
            <w:tcMar>
              <w:top w:w="70" w:type="dxa"/>
              <w:bottom w:w="70" w:type="dxa"/>
              <w:left w:w="100" w:type="dxa"/>
              <w:right w:w="100" w:type="dxa"/>
            </w:tcMar>
          </w:tcPr>
          <w:p>
            <w:pPr>
              <w:jc w:val="center"/>
            </w:pPr>
            <w:r>
              <w:rPr>
                <w:rFonts w:ascii="Calibri" w:hAnsi="Calibri"/>
                <w:color w:val="1E293B"/>
                <w:sz w:val="18"/>
              </w:rPr>
              <w:t>100.0%</w:t>
            </w:r>
          </w:p>
        </w:tc>
        <w:tc>
          <w:tcPr>
            <w:tcW w:type="dxa" w:w="1296"/>
            <w:shd w:fill="FFFFFF"/>
            <w:tcMar>
              <w:top w:w="70" w:type="dxa"/>
              <w:bottom w:w="70" w:type="dxa"/>
              <w:left w:w="100" w:type="dxa"/>
              <w:right w:w="100" w:type="dxa"/>
            </w:tcMar>
          </w:tcPr>
          <w:p>
            <w:pPr>
              <w:jc w:val="center"/>
            </w:pPr>
            <w:r>
              <w:rPr>
                <w:rFonts w:ascii="Calibri" w:hAnsi="Calibri"/>
                <w:color w:val="1E293B"/>
                <w:sz w:val="18"/>
              </w:rPr>
              <w:t>71.4%</w:t>
            </w:r>
          </w:p>
        </w:tc>
        <w:tc>
          <w:tcPr>
            <w:tcW w:type="dxa" w:w="1152"/>
            <w:shd w:fill="FFFFFF"/>
            <w:tcMar>
              <w:top w:w="70" w:type="dxa"/>
              <w:bottom w:w="70" w:type="dxa"/>
              <w:left w:w="100" w:type="dxa"/>
              <w:right w:w="100" w:type="dxa"/>
            </w:tcMar>
          </w:tcPr>
          <w:p>
            <w:pPr>
              <w:jc w:val="center"/>
            </w:pPr>
            <w:r>
              <w:rPr>
                <w:rFonts w:ascii="Calibri" w:hAnsi="Calibri"/>
                <w:color w:val="1E293B"/>
                <w:sz w:val="18"/>
              </w:rPr>
              <w:t>0.875</w:t>
            </w:r>
          </w:p>
        </w:tc>
      </w:tr>
      <w:tr>
        <w:tc>
          <w:tcPr>
            <w:tcW w:type="dxa" w:w="1152"/>
            <w:shd w:fill="F8FAFC"/>
            <w:tcMar>
              <w:top w:w="70" w:type="dxa"/>
              <w:bottom w:w="70" w:type="dxa"/>
              <w:left w:w="100" w:type="dxa"/>
              <w:right w:w="100" w:type="dxa"/>
            </w:tcMar>
          </w:tcPr>
          <w:p>
            <w:pPr>
              <w:jc w:val="center"/>
            </w:pPr>
            <w:r>
              <w:rPr>
                <w:rFonts w:ascii="Calibri" w:hAnsi="Calibri"/>
                <w:color w:val="1E293B"/>
                <w:sz w:val="18"/>
              </w:rPr>
              <w:t>20%</w:t>
            </w:r>
          </w:p>
        </w:tc>
        <w:tc>
          <w:tcPr>
            <w:tcW w:type="dxa" w:w="864"/>
            <w:shd w:fill="F8FAFC"/>
            <w:tcMar>
              <w:top w:w="70" w:type="dxa"/>
              <w:bottom w:w="70" w:type="dxa"/>
              <w:left w:w="100" w:type="dxa"/>
              <w:right w:w="100" w:type="dxa"/>
            </w:tcMar>
          </w:tcPr>
          <w:p>
            <w:pPr>
              <w:jc w:val="center"/>
            </w:pPr>
            <w:r>
              <w:rPr>
                <w:rFonts w:ascii="Calibri" w:hAnsi="Calibri"/>
                <w:color w:val="1E293B"/>
                <w:sz w:val="18"/>
              </w:rPr>
              <w:t>6</w:t>
            </w:r>
          </w:p>
        </w:tc>
        <w:tc>
          <w:tcPr>
            <w:tcW w:type="dxa" w:w="864"/>
            <w:shd w:fill="F8FAFC"/>
            <w:tcMar>
              <w:top w:w="70" w:type="dxa"/>
              <w:bottom w:w="70" w:type="dxa"/>
              <w:left w:w="100" w:type="dxa"/>
              <w:right w:w="100" w:type="dxa"/>
            </w:tcMar>
          </w:tcPr>
          <w:p>
            <w:pPr>
              <w:jc w:val="center"/>
            </w:pPr>
            <w:r>
              <w:rPr>
                <w:rFonts w:ascii="Calibri" w:hAnsi="Calibri"/>
                <w:color w:val="1E293B"/>
                <w:sz w:val="18"/>
              </w:rPr>
              <w:t>1</w:t>
            </w:r>
          </w:p>
        </w:tc>
        <w:tc>
          <w:tcPr>
            <w:tcW w:type="dxa" w:w="864"/>
            <w:shd w:fill="F8FAFC"/>
            <w:tcMar>
              <w:top w:w="70" w:type="dxa"/>
              <w:bottom w:w="70" w:type="dxa"/>
              <w:left w:w="100" w:type="dxa"/>
              <w:right w:w="100" w:type="dxa"/>
            </w:tcMar>
          </w:tcPr>
          <w:p>
            <w:pPr>
              <w:jc w:val="center"/>
            </w:pPr>
            <w:r>
              <w:rPr>
                <w:rFonts w:ascii="Calibri" w:hAnsi="Calibri"/>
                <w:color w:val="1E293B"/>
                <w:sz w:val="18"/>
              </w:rPr>
              <w:t>6</w:t>
            </w:r>
          </w:p>
        </w:tc>
        <w:tc>
          <w:tcPr>
            <w:tcW w:type="dxa" w:w="864"/>
            <w:shd w:fill="F8FAFC"/>
            <w:tcMar>
              <w:top w:w="70" w:type="dxa"/>
              <w:bottom w:w="70" w:type="dxa"/>
              <w:left w:w="100" w:type="dxa"/>
              <w:right w:w="100" w:type="dxa"/>
            </w:tcMar>
          </w:tcPr>
          <w:p>
            <w:pPr>
              <w:jc w:val="center"/>
            </w:pPr>
            <w:r>
              <w:rPr>
                <w:rFonts w:ascii="Calibri" w:hAnsi="Calibri"/>
                <w:color w:val="1E293B"/>
                <w:sz w:val="18"/>
              </w:rPr>
              <w:t>1</w:t>
            </w:r>
          </w:p>
        </w:tc>
        <w:tc>
          <w:tcPr>
            <w:tcW w:type="dxa" w:w="1296"/>
            <w:shd w:fill="F8FAFC"/>
            <w:tcMar>
              <w:top w:w="70" w:type="dxa"/>
              <w:bottom w:w="70" w:type="dxa"/>
              <w:left w:w="100" w:type="dxa"/>
              <w:right w:w="100" w:type="dxa"/>
            </w:tcMar>
          </w:tcPr>
          <w:p>
            <w:pPr>
              <w:jc w:val="center"/>
            </w:pPr>
            <w:r>
              <w:rPr>
                <w:rFonts w:ascii="Calibri" w:hAnsi="Calibri"/>
                <w:color w:val="1E293B"/>
                <w:sz w:val="18"/>
              </w:rPr>
              <w:t>85.7%</w:t>
            </w:r>
          </w:p>
        </w:tc>
        <w:tc>
          <w:tcPr>
            <w:tcW w:type="dxa" w:w="1296"/>
            <w:shd w:fill="F8FAFC"/>
            <w:tcMar>
              <w:top w:w="70" w:type="dxa"/>
              <w:bottom w:w="70" w:type="dxa"/>
              <w:left w:w="100" w:type="dxa"/>
              <w:right w:w="100" w:type="dxa"/>
            </w:tcMar>
          </w:tcPr>
          <w:p>
            <w:pPr>
              <w:jc w:val="center"/>
            </w:pPr>
            <w:r>
              <w:rPr>
                <w:rFonts w:ascii="Calibri" w:hAnsi="Calibri"/>
                <w:color w:val="1E293B"/>
                <w:sz w:val="18"/>
              </w:rPr>
              <w:t>85.7%</w:t>
            </w:r>
          </w:p>
        </w:tc>
        <w:tc>
          <w:tcPr>
            <w:tcW w:type="dxa" w:w="1296"/>
            <w:shd w:fill="F8FAFC"/>
            <w:tcMar>
              <w:top w:w="70" w:type="dxa"/>
              <w:bottom w:w="70" w:type="dxa"/>
              <w:left w:w="100" w:type="dxa"/>
              <w:right w:w="100" w:type="dxa"/>
            </w:tcMar>
          </w:tcPr>
          <w:p>
            <w:pPr>
              <w:jc w:val="center"/>
            </w:pPr>
            <w:r>
              <w:rPr>
                <w:rFonts w:ascii="Calibri" w:hAnsi="Calibri"/>
                <w:color w:val="1E293B"/>
                <w:sz w:val="18"/>
              </w:rPr>
              <w:t>85.7%</w:t>
            </w:r>
          </w:p>
        </w:tc>
        <w:tc>
          <w:tcPr>
            <w:tcW w:type="dxa" w:w="1152"/>
            <w:shd w:fill="F8FAFC"/>
            <w:tcMar>
              <w:top w:w="70" w:type="dxa"/>
              <w:bottom w:w="70" w:type="dxa"/>
              <w:left w:w="100" w:type="dxa"/>
              <w:right w:w="100" w:type="dxa"/>
            </w:tcMar>
          </w:tcPr>
          <w:p>
            <w:pPr>
              <w:jc w:val="center"/>
            </w:pPr>
            <w:r>
              <w:rPr>
                <w:rFonts w:ascii="Calibri" w:hAnsi="Calibri"/>
                <w:color w:val="1E293B"/>
                <w:sz w:val="18"/>
              </w:rPr>
              <w:t>0.857</w:t>
            </w:r>
          </w:p>
        </w:tc>
      </w:tr>
      <w:tr>
        <w:tc>
          <w:tcPr>
            <w:tcW w:type="dxa" w:w="1152"/>
            <w:shd w:fill="FFFFFF"/>
            <w:tcMar>
              <w:top w:w="70" w:type="dxa"/>
              <w:bottom w:w="70" w:type="dxa"/>
              <w:left w:w="100" w:type="dxa"/>
              <w:right w:w="100" w:type="dxa"/>
            </w:tcMar>
          </w:tcPr>
          <w:p>
            <w:pPr>
              <w:jc w:val="center"/>
            </w:pPr>
            <w:r>
              <w:rPr>
                <w:rFonts w:ascii="Calibri" w:hAnsi="Calibri"/>
                <w:color w:val="1E293B"/>
                <w:sz w:val="18"/>
              </w:rPr>
              <w:t>30% [OPT]</w:t>
            </w:r>
          </w:p>
        </w:tc>
        <w:tc>
          <w:tcPr>
            <w:tcW w:type="dxa" w:w="864"/>
            <w:shd w:fill="FFFFFF"/>
            <w:tcMar>
              <w:top w:w="70" w:type="dxa"/>
              <w:bottom w:w="70" w:type="dxa"/>
              <w:left w:w="100" w:type="dxa"/>
              <w:right w:w="100" w:type="dxa"/>
            </w:tcMar>
          </w:tcPr>
          <w:p>
            <w:pPr>
              <w:jc w:val="center"/>
            </w:pPr>
            <w:r>
              <w:rPr>
                <w:rFonts w:ascii="Calibri" w:hAnsi="Calibri"/>
                <w:color w:val="1E293B"/>
                <w:sz w:val="18"/>
              </w:rPr>
              <w:t>6</w:t>
            </w:r>
          </w:p>
        </w:tc>
        <w:tc>
          <w:tcPr>
            <w:tcW w:type="dxa" w:w="864"/>
            <w:shd w:fill="FFFFFF"/>
            <w:tcMar>
              <w:top w:w="70" w:type="dxa"/>
              <w:bottom w:w="70" w:type="dxa"/>
              <w:left w:w="100" w:type="dxa"/>
              <w:right w:w="100" w:type="dxa"/>
            </w:tcMar>
          </w:tcPr>
          <w:p>
            <w:pPr>
              <w:jc w:val="center"/>
            </w:pPr>
            <w:r>
              <w:rPr>
                <w:rFonts w:ascii="Calibri" w:hAnsi="Calibri"/>
                <w:color w:val="1E293B"/>
                <w:sz w:val="18"/>
              </w:rPr>
              <w:t>0</w:t>
            </w:r>
          </w:p>
        </w:tc>
        <w:tc>
          <w:tcPr>
            <w:tcW w:type="dxa" w:w="864"/>
            <w:shd w:fill="FFFFFF"/>
            <w:tcMar>
              <w:top w:w="70" w:type="dxa"/>
              <w:bottom w:w="70" w:type="dxa"/>
              <w:left w:w="100" w:type="dxa"/>
              <w:right w:w="100" w:type="dxa"/>
            </w:tcMar>
          </w:tcPr>
          <w:p>
            <w:pPr>
              <w:jc w:val="center"/>
            </w:pPr>
            <w:r>
              <w:rPr>
                <w:rFonts w:ascii="Calibri" w:hAnsi="Calibri"/>
                <w:color w:val="1E293B"/>
                <w:sz w:val="18"/>
              </w:rPr>
              <w:t>7</w:t>
            </w:r>
          </w:p>
        </w:tc>
        <w:tc>
          <w:tcPr>
            <w:tcW w:type="dxa" w:w="864"/>
            <w:shd w:fill="FFFFFF"/>
            <w:tcMar>
              <w:top w:w="70" w:type="dxa"/>
              <w:bottom w:w="70" w:type="dxa"/>
              <w:left w:w="100" w:type="dxa"/>
              <w:right w:w="100" w:type="dxa"/>
            </w:tcMar>
          </w:tcPr>
          <w:p>
            <w:pPr>
              <w:jc w:val="center"/>
            </w:pPr>
            <w:r>
              <w:rPr>
                <w:rFonts w:ascii="Calibri" w:hAnsi="Calibri"/>
                <w:color w:val="1E293B"/>
                <w:sz w:val="18"/>
              </w:rPr>
              <w:t>1</w:t>
            </w:r>
          </w:p>
        </w:tc>
        <w:tc>
          <w:tcPr>
            <w:tcW w:type="dxa" w:w="1296"/>
            <w:shd w:fill="FFFFFF"/>
            <w:tcMar>
              <w:top w:w="70" w:type="dxa"/>
              <w:bottom w:w="70" w:type="dxa"/>
              <w:left w:w="100" w:type="dxa"/>
              <w:right w:w="100" w:type="dxa"/>
            </w:tcMar>
          </w:tcPr>
          <w:p>
            <w:pPr>
              <w:jc w:val="center"/>
            </w:pPr>
            <w:r>
              <w:rPr>
                <w:rFonts w:ascii="Calibri" w:hAnsi="Calibri"/>
                <w:color w:val="1E293B"/>
                <w:sz w:val="18"/>
              </w:rPr>
              <w:t>100.0%</w:t>
            </w:r>
          </w:p>
        </w:tc>
        <w:tc>
          <w:tcPr>
            <w:tcW w:type="dxa" w:w="1296"/>
            <w:shd w:fill="FFFFFF"/>
            <w:tcMar>
              <w:top w:w="70" w:type="dxa"/>
              <w:bottom w:w="70" w:type="dxa"/>
              <w:left w:w="100" w:type="dxa"/>
              <w:right w:w="100" w:type="dxa"/>
            </w:tcMar>
          </w:tcPr>
          <w:p>
            <w:pPr>
              <w:jc w:val="center"/>
            </w:pPr>
            <w:r>
              <w:rPr>
                <w:rFonts w:ascii="Calibri" w:hAnsi="Calibri"/>
                <w:color w:val="1E293B"/>
                <w:sz w:val="18"/>
              </w:rPr>
              <w:t>85.7%</w:t>
            </w:r>
          </w:p>
        </w:tc>
        <w:tc>
          <w:tcPr>
            <w:tcW w:type="dxa" w:w="1296"/>
            <w:shd w:fill="FFFFFF"/>
            <w:tcMar>
              <w:top w:w="70" w:type="dxa"/>
              <w:bottom w:w="70" w:type="dxa"/>
              <w:left w:w="100" w:type="dxa"/>
              <w:right w:w="100" w:type="dxa"/>
            </w:tcMar>
          </w:tcPr>
          <w:p>
            <w:pPr>
              <w:jc w:val="center"/>
            </w:pPr>
            <w:r>
              <w:rPr>
                <w:rFonts w:ascii="Calibri" w:hAnsi="Calibri"/>
                <w:color w:val="1E293B"/>
                <w:sz w:val="18"/>
              </w:rPr>
              <w:t>100.0%</w:t>
            </w:r>
          </w:p>
        </w:tc>
        <w:tc>
          <w:tcPr>
            <w:tcW w:type="dxa" w:w="1152"/>
            <w:shd w:fill="FFFFFF"/>
            <w:tcMar>
              <w:top w:w="70" w:type="dxa"/>
              <w:bottom w:w="70" w:type="dxa"/>
              <w:left w:w="100" w:type="dxa"/>
              <w:right w:w="100" w:type="dxa"/>
            </w:tcMar>
          </w:tcPr>
          <w:p>
            <w:pPr>
              <w:jc w:val="center"/>
            </w:pPr>
            <w:r>
              <w:rPr>
                <w:rFonts w:ascii="Calibri" w:hAnsi="Calibri"/>
                <w:color w:val="1E293B"/>
                <w:sz w:val="18"/>
              </w:rPr>
              <w:t>0.923</w:t>
            </w:r>
          </w:p>
        </w:tc>
      </w:tr>
      <w:tr>
        <w:tc>
          <w:tcPr>
            <w:tcW w:type="dxa" w:w="1152"/>
            <w:shd w:fill="F8FAFC"/>
            <w:tcMar>
              <w:top w:w="70" w:type="dxa"/>
              <w:bottom w:w="70" w:type="dxa"/>
              <w:left w:w="100" w:type="dxa"/>
              <w:right w:w="100" w:type="dxa"/>
            </w:tcMar>
          </w:tcPr>
          <w:p>
            <w:pPr>
              <w:jc w:val="center"/>
            </w:pPr>
            <w:r>
              <w:rPr>
                <w:rFonts w:ascii="Calibri" w:hAnsi="Calibri"/>
                <w:color w:val="1E293B"/>
                <w:sz w:val="18"/>
              </w:rPr>
              <w:t>50%</w:t>
            </w:r>
          </w:p>
        </w:tc>
        <w:tc>
          <w:tcPr>
            <w:tcW w:type="dxa" w:w="864"/>
            <w:shd w:fill="F8FAFC"/>
            <w:tcMar>
              <w:top w:w="70" w:type="dxa"/>
              <w:bottom w:w="70" w:type="dxa"/>
              <w:left w:w="100" w:type="dxa"/>
              <w:right w:w="100" w:type="dxa"/>
            </w:tcMar>
          </w:tcPr>
          <w:p>
            <w:pPr>
              <w:jc w:val="center"/>
            </w:pPr>
            <w:r>
              <w:rPr>
                <w:rFonts w:ascii="Calibri" w:hAnsi="Calibri"/>
                <w:color w:val="1E293B"/>
                <w:sz w:val="18"/>
              </w:rPr>
              <w:t>4</w:t>
            </w:r>
          </w:p>
        </w:tc>
        <w:tc>
          <w:tcPr>
            <w:tcW w:type="dxa" w:w="864"/>
            <w:shd w:fill="F8FAFC"/>
            <w:tcMar>
              <w:top w:w="70" w:type="dxa"/>
              <w:bottom w:w="70" w:type="dxa"/>
              <w:left w:w="100" w:type="dxa"/>
              <w:right w:w="100" w:type="dxa"/>
            </w:tcMar>
          </w:tcPr>
          <w:p>
            <w:pPr>
              <w:jc w:val="center"/>
            </w:pPr>
            <w:r>
              <w:rPr>
                <w:rFonts w:ascii="Calibri" w:hAnsi="Calibri"/>
                <w:color w:val="1E293B"/>
                <w:sz w:val="18"/>
              </w:rPr>
              <w:t>0</w:t>
            </w:r>
          </w:p>
        </w:tc>
        <w:tc>
          <w:tcPr>
            <w:tcW w:type="dxa" w:w="864"/>
            <w:shd w:fill="F8FAFC"/>
            <w:tcMar>
              <w:top w:w="70" w:type="dxa"/>
              <w:bottom w:w="70" w:type="dxa"/>
              <w:left w:w="100" w:type="dxa"/>
              <w:right w:w="100" w:type="dxa"/>
            </w:tcMar>
          </w:tcPr>
          <w:p>
            <w:pPr>
              <w:jc w:val="center"/>
            </w:pPr>
            <w:r>
              <w:rPr>
                <w:rFonts w:ascii="Calibri" w:hAnsi="Calibri"/>
                <w:color w:val="1E293B"/>
                <w:sz w:val="18"/>
              </w:rPr>
              <w:t>7</w:t>
            </w:r>
          </w:p>
        </w:tc>
        <w:tc>
          <w:tcPr>
            <w:tcW w:type="dxa" w:w="864"/>
            <w:shd w:fill="F8FAFC"/>
            <w:tcMar>
              <w:top w:w="70" w:type="dxa"/>
              <w:bottom w:w="70" w:type="dxa"/>
              <w:left w:w="100" w:type="dxa"/>
              <w:right w:w="100" w:type="dxa"/>
            </w:tcMar>
          </w:tcPr>
          <w:p>
            <w:pPr>
              <w:jc w:val="center"/>
            </w:pPr>
            <w:r>
              <w:rPr>
                <w:rFonts w:ascii="Calibri" w:hAnsi="Calibri"/>
                <w:color w:val="1E293B"/>
                <w:sz w:val="18"/>
              </w:rPr>
              <w:t>3</w:t>
            </w:r>
          </w:p>
        </w:tc>
        <w:tc>
          <w:tcPr>
            <w:tcW w:type="dxa" w:w="1296"/>
            <w:shd w:fill="F8FAFC"/>
            <w:tcMar>
              <w:top w:w="70" w:type="dxa"/>
              <w:bottom w:w="70" w:type="dxa"/>
              <w:left w:w="100" w:type="dxa"/>
              <w:right w:w="100" w:type="dxa"/>
            </w:tcMar>
          </w:tcPr>
          <w:p>
            <w:pPr>
              <w:jc w:val="center"/>
            </w:pPr>
            <w:r>
              <w:rPr>
                <w:rFonts w:ascii="Calibri" w:hAnsi="Calibri"/>
                <w:color w:val="1E293B"/>
                <w:sz w:val="18"/>
              </w:rPr>
              <w:t>100.0%</w:t>
            </w:r>
          </w:p>
        </w:tc>
        <w:tc>
          <w:tcPr>
            <w:tcW w:type="dxa" w:w="1296"/>
            <w:shd w:fill="F8FAFC"/>
            <w:tcMar>
              <w:top w:w="70" w:type="dxa"/>
              <w:bottom w:w="70" w:type="dxa"/>
              <w:left w:w="100" w:type="dxa"/>
              <w:right w:w="100" w:type="dxa"/>
            </w:tcMar>
          </w:tcPr>
          <w:p>
            <w:pPr>
              <w:jc w:val="center"/>
            </w:pPr>
            <w:r>
              <w:rPr>
                <w:rFonts w:ascii="Calibri" w:hAnsi="Calibri"/>
                <w:color w:val="1E293B"/>
                <w:sz w:val="18"/>
              </w:rPr>
              <w:t>57.1%</w:t>
            </w:r>
          </w:p>
        </w:tc>
        <w:tc>
          <w:tcPr>
            <w:tcW w:type="dxa" w:w="1296"/>
            <w:shd w:fill="F8FAFC"/>
            <w:tcMar>
              <w:top w:w="70" w:type="dxa"/>
              <w:bottom w:w="70" w:type="dxa"/>
              <w:left w:w="100" w:type="dxa"/>
              <w:right w:w="100" w:type="dxa"/>
            </w:tcMar>
          </w:tcPr>
          <w:p>
            <w:pPr>
              <w:jc w:val="center"/>
            </w:pPr>
            <w:r>
              <w:rPr>
                <w:rFonts w:ascii="Calibri" w:hAnsi="Calibri"/>
                <w:color w:val="1E293B"/>
                <w:sz w:val="18"/>
              </w:rPr>
              <w:t>100.0%</w:t>
            </w:r>
          </w:p>
        </w:tc>
        <w:tc>
          <w:tcPr>
            <w:tcW w:type="dxa" w:w="1152"/>
            <w:shd w:fill="F8FAFC"/>
            <w:tcMar>
              <w:top w:w="70" w:type="dxa"/>
              <w:bottom w:w="70" w:type="dxa"/>
              <w:left w:w="100" w:type="dxa"/>
              <w:right w:w="100" w:type="dxa"/>
            </w:tcMar>
          </w:tcPr>
          <w:p>
            <w:pPr>
              <w:jc w:val="center"/>
            </w:pPr>
            <w:r>
              <w:rPr>
                <w:rFonts w:ascii="Calibri" w:hAnsi="Calibri"/>
                <w:color w:val="1E293B"/>
                <w:sz w:val="18"/>
              </w:rPr>
              <w:t>0.727</w:t>
            </w:r>
          </w:p>
        </w:tc>
      </w:tr>
      <w:tr>
        <w:tc>
          <w:tcPr>
            <w:tcW w:type="dxa" w:w="1152"/>
            <w:shd w:fill="FFFFFF"/>
            <w:tcMar>
              <w:top w:w="70" w:type="dxa"/>
              <w:bottom w:w="70" w:type="dxa"/>
              <w:left w:w="100" w:type="dxa"/>
              <w:right w:w="100" w:type="dxa"/>
            </w:tcMar>
          </w:tcPr>
          <w:p>
            <w:pPr>
              <w:jc w:val="center"/>
            </w:pPr>
            <w:r>
              <w:rPr>
                <w:rFonts w:ascii="Calibri" w:hAnsi="Calibri"/>
                <w:color w:val="1E293B"/>
                <w:sz w:val="18"/>
              </w:rPr>
              <w:t>80%</w:t>
            </w:r>
          </w:p>
        </w:tc>
        <w:tc>
          <w:tcPr>
            <w:tcW w:type="dxa" w:w="864"/>
            <w:shd w:fill="FFFFFF"/>
            <w:tcMar>
              <w:top w:w="70" w:type="dxa"/>
              <w:bottom w:w="70" w:type="dxa"/>
              <w:left w:w="100" w:type="dxa"/>
              <w:right w:w="100" w:type="dxa"/>
            </w:tcMar>
          </w:tcPr>
          <w:p>
            <w:pPr>
              <w:jc w:val="center"/>
            </w:pPr>
            <w:r>
              <w:rPr>
                <w:rFonts w:ascii="Calibri" w:hAnsi="Calibri"/>
                <w:color w:val="1E293B"/>
                <w:sz w:val="18"/>
              </w:rPr>
              <w:t>3</w:t>
            </w:r>
          </w:p>
        </w:tc>
        <w:tc>
          <w:tcPr>
            <w:tcW w:type="dxa" w:w="864"/>
            <w:shd w:fill="FFFFFF"/>
            <w:tcMar>
              <w:top w:w="70" w:type="dxa"/>
              <w:bottom w:w="70" w:type="dxa"/>
              <w:left w:w="100" w:type="dxa"/>
              <w:right w:w="100" w:type="dxa"/>
            </w:tcMar>
          </w:tcPr>
          <w:p>
            <w:pPr>
              <w:jc w:val="center"/>
            </w:pPr>
            <w:r>
              <w:rPr>
                <w:rFonts w:ascii="Calibri" w:hAnsi="Calibri"/>
                <w:color w:val="1E293B"/>
                <w:sz w:val="18"/>
              </w:rPr>
              <w:t>0</w:t>
            </w:r>
          </w:p>
        </w:tc>
        <w:tc>
          <w:tcPr>
            <w:tcW w:type="dxa" w:w="864"/>
            <w:shd w:fill="FFFFFF"/>
            <w:tcMar>
              <w:top w:w="70" w:type="dxa"/>
              <w:bottom w:w="70" w:type="dxa"/>
              <w:left w:w="100" w:type="dxa"/>
              <w:right w:w="100" w:type="dxa"/>
            </w:tcMar>
          </w:tcPr>
          <w:p>
            <w:pPr>
              <w:jc w:val="center"/>
            </w:pPr>
            <w:r>
              <w:rPr>
                <w:rFonts w:ascii="Calibri" w:hAnsi="Calibri"/>
                <w:color w:val="1E293B"/>
                <w:sz w:val="18"/>
              </w:rPr>
              <w:t>7</w:t>
            </w:r>
          </w:p>
        </w:tc>
        <w:tc>
          <w:tcPr>
            <w:tcW w:type="dxa" w:w="864"/>
            <w:shd w:fill="FFFFFF"/>
            <w:tcMar>
              <w:top w:w="70" w:type="dxa"/>
              <w:bottom w:w="70" w:type="dxa"/>
              <w:left w:w="100" w:type="dxa"/>
              <w:right w:w="100" w:type="dxa"/>
            </w:tcMar>
          </w:tcPr>
          <w:p>
            <w:pPr>
              <w:jc w:val="center"/>
            </w:pPr>
            <w:r>
              <w:rPr>
                <w:rFonts w:ascii="Calibri" w:hAnsi="Calibri"/>
                <w:color w:val="1E293B"/>
                <w:sz w:val="18"/>
              </w:rPr>
              <w:t>4</w:t>
            </w:r>
          </w:p>
        </w:tc>
        <w:tc>
          <w:tcPr>
            <w:tcW w:type="dxa" w:w="1296"/>
            <w:shd w:fill="FFFFFF"/>
            <w:tcMar>
              <w:top w:w="70" w:type="dxa"/>
              <w:bottom w:w="70" w:type="dxa"/>
              <w:left w:w="100" w:type="dxa"/>
              <w:right w:w="100" w:type="dxa"/>
            </w:tcMar>
          </w:tcPr>
          <w:p>
            <w:pPr>
              <w:jc w:val="center"/>
            </w:pPr>
            <w:r>
              <w:rPr>
                <w:rFonts w:ascii="Calibri" w:hAnsi="Calibri"/>
                <w:color w:val="1E293B"/>
                <w:sz w:val="18"/>
              </w:rPr>
              <w:t>100.0%</w:t>
            </w:r>
          </w:p>
        </w:tc>
        <w:tc>
          <w:tcPr>
            <w:tcW w:type="dxa" w:w="1296"/>
            <w:shd w:fill="FFFFFF"/>
            <w:tcMar>
              <w:top w:w="70" w:type="dxa"/>
              <w:bottom w:w="70" w:type="dxa"/>
              <w:left w:w="100" w:type="dxa"/>
              <w:right w:w="100" w:type="dxa"/>
            </w:tcMar>
          </w:tcPr>
          <w:p>
            <w:pPr>
              <w:jc w:val="center"/>
            </w:pPr>
            <w:r>
              <w:rPr>
                <w:rFonts w:ascii="Calibri" w:hAnsi="Calibri"/>
                <w:color w:val="1E293B"/>
                <w:sz w:val="18"/>
              </w:rPr>
              <w:t>42.9%</w:t>
            </w:r>
          </w:p>
        </w:tc>
        <w:tc>
          <w:tcPr>
            <w:tcW w:type="dxa" w:w="1296"/>
            <w:shd w:fill="FFFFFF"/>
            <w:tcMar>
              <w:top w:w="70" w:type="dxa"/>
              <w:bottom w:w="70" w:type="dxa"/>
              <w:left w:w="100" w:type="dxa"/>
              <w:right w:w="100" w:type="dxa"/>
            </w:tcMar>
          </w:tcPr>
          <w:p>
            <w:pPr>
              <w:jc w:val="center"/>
            </w:pPr>
            <w:r>
              <w:rPr>
                <w:rFonts w:ascii="Calibri" w:hAnsi="Calibri"/>
                <w:color w:val="1E293B"/>
                <w:sz w:val="18"/>
              </w:rPr>
              <w:t>100.0%</w:t>
            </w:r>
          </w:p>
        </w:tc>
        <w:tc>
          <w:tcPr>
            <w:tcW w:type="dxa" w:w="1152"/>
            <w:shd w:fill="FFFFFF"/>
            <w:tcMar>
              <w:top w:w="70" w:type="dxa"/>
              <w:bottom w:w="70" w:type="dxa"/>
              <w:left w:w="100" w:type="dxa"/>
              <w:right w:w="100" w:type="dxa"/>
            </w:tcMar>
          </w:tcPr>
          <w:p>
            <w:pPr>
              <w:jc w:val="center"/>
            </w:pPr>
            <w:r>
              <w:rPr>
                <w:rFonts w:ascii="Calibri" w:hAnsi="Calibri"/>
                <w:color w:val="1E293B"/>
                <w:sz w:val="18"/>
              </w:rPr>
              <w:t>0.600</w:t>
            </w:r>
          </w:p>
        </w:tc>
      </w:tr>
    </w:tbl>
    <w:p>
      <w:pPr>
        <w:spacing w:after="80"/>
      </w:pPr>
    </w:p>
    <w:p>
      <w:pPr>
        <w:keepNext/>
        <w:spacing w:before="160" w:after="40"/>
        <w:jc w:val="center"/>
      </w:pPr>
      <w:r>
        <w:drawing>
          <wp:inline xmlns:a="http://schemas.openxmlformats.org/drawingml/2006/main" xmlns:pic="http://schemas.openxmlformats.org/drawingml/2006/picture">
            <wp:extent cx="5303520" cy="2981774"/>
            <wp:docPr id="22" name="Picture 22"/>
            <wp:cNvGraphicFramePr>
              <a:graphicFrameLocks noChangeAspect="1"/>
            </wp:cNvGraphicFramePr>
            <a:graphic>
              <a:graphicData uri="http://schemas.openxmlformats.org/drawingml/2006/picture">
                <pic:pic>
                  <pic:nvPicPr>
                    <pic:cNvPr id="0" name="18_threshold_sweep_chart.png"/>
                    <pic:cNvPicPr/>
                  </pic:nvPicPr>
                  <pic:blipFill>
                    <a:blip r:embed="rId30"/>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22. Hədd Süpürmə Eksperimentinin Nəticələri və F1-Score Əyrisi — </w:t>
      </w:r>
      <w:r>
        <w:rPr>
          <w:rFonts w:ascii="Calibri" w:hAnsi="Calibri"/>
          <w:i/>
          <w:color w:val="64748B"/>
          <w:sz w:val="19"/>
        </w:rPr>
        <w:t>30% həddində Precision-un 100%-ə çatdığını və F1-Score-un maksimum (0.923) olduğunu nümayiş etdirir.</w:t>
      </w:r>
    </w:p>
    <w:p>
      <w:pPr>
        <w:keepNext/>
        <w:spacing w:before="280" w:after="80"/>
      </w:pPr>
      <w:r>
        <w:rPr>
          <w:rFonts w:ascii="Calibri" w:hAnsi="Calibri"/>
          <w:b/>
          <w:color w:val="1E293B"/>
          <w:sz w:val="26"/>
        </w:rPr>
        <w:t>Nəticələrin Səmimi Mühəndislik Təhlili</w:t>
      </w:r>
    </w:p>
    <w:p>
      <w:pPr>
        <w:spacing w:line="276" w:lineRule="auto" w:after="100"/>
      </w:pPr>
      <w:r>
        <w:rPr>
          <w:rFonts w:ascii="Calibri" w:hAnsi="Calibri"/>
          <w:color w:val="1E293B"/>
          <w:sz w:val="22"/>
        </w:rPr>
        <w:t>Problem: 1%, 5% və 10% kimi aşağı hədlərdə sistem adi ofis işçisinin eyni anda bir neçə hesabatı redaktə etməsini ransomware hücumu zənn edərək həyəcan siqnalı vermiş və aşağı Precision (58.3% – 77.8%) göstərmişdir.</w:t>
        <w:br/>
        <w:t>Nümunə: Bu hal yanğın siqnalizasiyasının mətbəxdə qayğanaq bişirilərkən çıxan buxara görə bütün binada suyu açmasına bənzəyir.</w:t>
        <w:br/>
        <w:t>Həll: Aşkarlama həddini 30% olaraq fiksasiya etdik və ALLOWLISTED_ACCOUNTS istisnalarını tətbiq etdik.</w:t>
        <w:br/>
        <w:t>Yoxlama: Nəticədə yalançı həyəcanlar 0%-ə düşdü, Precision 100% oldu və F1-Score 0.923 zirvəsinə çatdı.</w:t>
      </w:r>
    </w:p>
    <w:p>
      <w:pPr>
        <w:keepNext/>
        <w:spacing w:before="160" w:after="40"/>
        <w:jc w:val="center"/>
      </w:pPr>
      <w:r>
        <w:drawing>
          <wp:inline xmlns:a="http://schemas.openxmlformats.org/drawingml/2006/main" xmlns:pic="http://schemas.openxmlformats.org/drawingml/2006/picture">
            <wp:extent cx="5303520" cy="2699974"/>
            <wp:docPr id="23" name="Picture 23"/>
            <wp:cNvGraphicFramePr>
              <a:graphicFrameLocks noChangeAspect="1"/>
            </wp:cNvGraphicFramePr>
            <a:graphic>
              <a:graphicData uri="http://schemas.openxmlformats.org/drawingml/2006/picture">
                <pic:pic>
                  <pic:nvPicPr>
                    <pic:cNvPr id="0" name="01_project_structure_and_test_suite.png"/>
                    <pic:cNvPicPr/>
                  </pic:nvPicPr>
                  <pic:blipFill>
                    <a:blip r:embed="rId31"/>
                    <a:stretch>
                      <a:fillRect/>
                    </a:stretch>
                  </pic:blipFill>
                  <pic:spPr>
                    <a:xfrm>
                      <a:off x="0" y="0"/>
                      <a:ext cx="5303520" cy="2699974"/>
                    </a:xfrm>
                    <a:prstGeom prst="rect"/>
                  </pic:spPr>
                </pic:pic>
              </a:graphicData>
            </a:graphic>
          </wp:inline>
        </w:drawing>
      </w:r>
    </w:p>
    <w:p>
      <w:pPr>
        <w:spacing w:after="160"/>
        <w:jc w:val="center"/>
      </w:pPr>
      <w:r>
        <w:rPr>
          <w:rFonts w:ascii="Calibri" w:hAnsi="Calibri"/>
          <w:b/>
          <w:color w:val="334155"/>
          <w:sz w:val="19"/>
        </w:rPr>
        <w:t xml:space="preserve">Şəkil 23. CloudRDR Vahid və İnteqrasiya Testləri (74/74 Keçib) — </w:t>
      </w:r>
      <w:r>
        <w:rPr>
          <w:rFonts w:ascii="Calibri" w:hAnsi="Calibri"/>
          <w:i/>
          <w:color w:val="64748B"/>
          <w:sz w:val="19"/>
        </w:rPr>
        <w:t>Bütün sistem komponentlərinin avtomatlaşdırılmış testlərdən 100% uğurla keçdiyini təsdiq edir.</w:t>
      </w:r>
    </w:p>
    <w:p>
      <w:pPr>
        <w:keepNext/>
        <w:spacing w:before="400" w:after="120"/>
      </w:pPr>
      <w:r>
        <w:rPr>
          <w:rFonts w:ascii="Calibri" w:hAnsi="Calibri"/>
          <w:b/>
          <w:color w:val="0F172A"/>
          <w:sz w:val="32"/>
        </w:rPr>
        <w:t>11. Layihənin İdarə Edilməsi: Linear Lövhəsi, Rollar və CI/CD</w:t>
      </w:r>
    </w:p>
    <w:p>
      <w:pPr>
        <w:spacing w:line="276" w:lineRule="auto" w:after="100"/>
      </w:pPr>
      <w:r>
        <w:rPr>
          <w:rFonts w:ascii="Calibri" w:hAnsi="Calibri"/>
          <w:color w:val="1E293B"/>
          <w:sz w:val="22"/>
        </w:rPr>
        <w:t>Layihənin uğurlu icrası 6 nəfərlik komanda arasında vəzifələrin dəqiq paylanması və avtomatlaşdırılmış mühəndislik mühiti sayəsində mümkün olmuşdur:</w:t>
        <w:br/>
        <w:t>• Mübariz Paşayev (Project Manager &amp; GRC Lead): Layihənin planlaşdırılması, ISO 27001/NIST CSF uyğunluğu, risk reyestri və yekun tədqiqat hesabatı.</w:t>
        <w:br/>
        <w:t>• Nigar Əliyeva (Crypto Developer): SHA-256 axın heşlənməsi, Merkle DAG ağacı, AES-256-GCM AEAD və Ed25519 modulunun yazılması.</w:t>
        <w:br/>
        <w:t>• Rəşad Məmmədov (DevOps Engineer): Supabase verilənlər bazası miqrasiyaları, IAM Freeze siyasəti və GitHub Actions CI/CD boru kəməri.</w:t>
        <w:br/>
        <w:t>• Elmir Qasımov (Backend Developer): Fastify HTTP API servisi, sliding-window monitorinq agenti və karantin bərpa mühərriki.</w:t>
        <w:br/>
        <w:t>• Aysel Kərimova (Frontend Developer): SOC nəzarət paneli, real vaxt Merkle SVG vizuallaşdırması və interaktiv hadisə axını jurnalı.</w:t>
        <w:br/>
        <w:t>• Tural Səfərov (QA &amp; Benchmark Lead): Vahid və inteqrasiya testləri (74 test), M1–M9 metrik harnessi və threshold sweep sınaqları.</w:t>
      </w:r>
    </w:p>
    <w:p>
      <w:pPr>
        <w:keepNext/>
        <w:spacing w:before="160" w:after="40"/>
        <w:jc w:val="center"/>
      </w:pPr>
      <w:r>
        <w:drawing>
          <wp:inline xmlns:a="http://schemas.openxmlformats.org/drawingml/2006/main" xmlns:pic="http://schemas.openxmlformats.org/drawingml/2006/picture">
            <wp:extent cx="5303520" cy="2981774"/>
            <wp:docPr id="24" name="Picture 24"/>
            <wp:cNvGraphicFramePr>
              <a:graphicFrameLocks noChangeAspect="1"/>
            </wp:cNvGraphicFramePr>
            <a:graphic>
              <a:graphicData uri="http://schemas.openxmlformats.org/drawingml/2006/picture">
                <pic:pic>
                  <pic:nvPicPr>
                    <pic:cNvPr id="0" name="21_github_actions_ci_pipeline.png"/>
                    <pic:cNvPicPr/>
                  </pic:nvPicPr>
                  <pic:blipFill>
                    <a:blip r:embed="rId32"/>
                    <a:stretch>
                      <a:fillRect/>
                    </a:stretch>
                  </pic:blipFill>
                  <pic:spPr>
                    <a:xfrm>
                      <a:off x="0" y="0"/>
                      <a:ext cx="5303520" cy="2981774"/>
                    </a:xfrm>
                    <a:prstGeom prst="rect"/>
                  </pic:spPr>
                </pic:pic>
              </a:graphicData>
            </a:graphic>
          </wp:inline>
        </w:drawing>
      </w:r>
    </w:p>
    <w:p>
      <w:pPr>
        <w:spacing w:after="160"/>
        <w:jc w:val="center"/>
      </w:pPr>
      <w:r>
        <w:rPr>
          <w:rFonts w:ascii="Calibri" w:hAnsi="Calibri"/>
          <w:b/>
          <w:color w:val="334155"/>
          <w:sz w:val="19"/>
        </w:rPr>
        <w:t xml:space="preserve">Şəkil 24. GitHub Actions CI/CD Boru Kəməri və Avtomatlaşdırılmış Testlər — </w:t>
      </w:r>
      <w:r>
        <w:rPr>
          <w:rFonts w:ascii="Calibri" w:hAnsi="Calibri"/>
          <w:i/>
          <w:color w:val="64748B"/>
          <w:sz w:val="19"/>
        </w:rPr>
        <w:t>Hər bir commit üzrə lint, test və təhlükəsizlik yoxlamalarının avtomatik icrasını əks etdirir.</w:t>
      </w:r>
    </w:p>
    <w:p>
      <w:pPr>
        <w:keepNext/>
        <w:spacing w:before="400" w:after="120"/>
      </w:pPr>
      <w:r>
        <w:rPr>
          <w:rFonts w:ascii="Calibri" w:hAnsi="Calibri"/>
          <w:b/>
          <w:color w:val="0F172A"/>
          <w:sz w:val="32"/>
        </w:rPr>
        <w:t>12. Üç Fənnin Sintezi: Yekun Akademik İzah</w:t>
      </w:r>
    </w:p>
    <w:p>
      <w:pPr>
        <w:spacing w:line="276" w:lineRule="auto" w:after="100"/>
      </w:pPr>
      <w:r>
        <w:rPr>
          <w:rFonts w:ascii="Calibri" w:hAnsi="Calibri"/>
          <w:color w:val="1E293B"/>
          <w:sz w:val="22"/>
        </w:rPr>
        <w:t>CloudRDR layihəsi müasir kibertəhlükəsizlik elminin üç təməl sütununun vəhdətini təcəssüm etdirir:</w:t>
        <w:br/>
        <w:t>1. Kriptoqrafiya — 'Necə qorunur?' sualına cavab verir. Kriptoqrafiya faylların tamlığını SHA-256 və Merkle ağacı ilə riyazi olaraq möhürləyir, ehtiyat nüsxələri AES-256-GCM AEAD ilə toxunulmaz edir və insident aktlarını Ed25519 ilə rəsmiləşdirir.</w:t>
        <w:br/>
        <w:t>2. Bulud Təhlükəsizliyi — 'Harada və necə saxlanır?' sualını cavablandırır. Bulud infrastrukturu verilənləri özəl anbarlarda təcrid edir, RLS siyasətləri ilə icazəsiz girişləri bağlayır və təcavüzkarı IAM Write-Freeze vasitəsilə 0.2 millisaniyədə zərərsizləşdirir.</w:t>
        <w:br/>
        <w:t>3. İnformasiya Təhlükəsizliyi Menecment Sistemləri (İSMS) — 'Niyə və hansı risklər idarə olunur?' sualını tənzimləyir. İSMS bütün bu texniki alətləri korporativ risklərin idarə edilməsi, ISO 27001 nəzarətləri, NIST SP 800-61 insident planı və hüquqi sübutların qorunması qaydaları ilə birləşdirərək vahid idarəetmə sisteminə çevirir.</w:t>
      </w:r>
    </w:p>
    <w:p>
      <w:pPr>
        <w:spacing w:line="276" w:lineRule="auto" w:after="100"/>
      </w:pPr>
      <w:r>
        <w:rPr>
          <w:rFonts w:ascii="Calibri" w:hAnsi="Calibri"/>
          <w:color w:val="1E293B"/>
          <w:sz w:val="22"/>
        </w:rPr>
        <w:t>Yekun olaraq, bu üç fənn birləşdikdə ransomware hücumlarına qarşı passiv gözləmə mövqeyindən fəal, avtomatlaşdırılmış və riyazi olaraq sübut edilə bilən mütləq müdafiə sistemi əldə edilmişdir.</w:t>
      </w:r>
    </w:p>
    <w:p>
      <w:pPr>
        <w:keepNext/>
        <w:spacing w:before="400" w:after="120"/>
      </w:pPr>
      <w:r>
        <w:rPr>
          <w:rFonts w:ascii="Calibri" w:hAnsi="Calibri"/>
          <w:b/>
          <w:color w:val="0F172A"/>
          <w:sz w:val="32"/>
        </w:rPr>
        <w:t>13. Texniki Məhdudiyyətlər və Gələcək İnkişaf Perspektivləri</w:t>
      </w:r>
    </w:p>
    <w:p>
      <w:pPr>
        <w:spacing w:line="276" w:lineRule="auto" w:after="100"/>
      </w:pPr>
      <w:r>
        <w:rPr>
          <w:rFonts w:ascii="Calibri" w:hAnsi="Calibri"/>
          <w:color w:val="1E293B"/>
          <w:sz w:val="22"/>
        </w:rPr>
        <w:t>Layihənin uğurlu nəticələrinə baxmayaraq, gələcək tədqiqatlarda aradan qaldırılması nəzərdə tutulan bəzi real məhdudiyyətlər mövcuddur:</w:t>
        <w:br/>
        <w:t>• Polling Əsaslı Monitorinq: Monitor agent saxlancı 10 saniyəlik intervalla yoxlayır. Gələcəkdə bunu S3 EventBridge və ya Supabase Realtime Webhooks ilə dəyişdirərək real vaxt reaksiyasını 0 millisaniyəyə endirmək olar.</w:t>
        <w:br/>
        <w:t>• Sabit Hədd Modeli: 30%-lik hədd sintetik testlərdə optimal olsa da, qeyri-standart biznes mühitlərində maşın öyrənməsi (ML/AI) əsaslı anomaliya aşkarlanması daha effektiv ola bilər.</w:t>
        <w:br/>
        <w:t>• HSM İnteqrasiyası: Hazırda Ed25519 açarları təhlükəsiz daxili mühitdə saxlanılır; gələcək korporativ versiyada açarların aparat təhlükəsizlik modulunda (AWS CloudHSM) saxlanması planlaşdırılır.</w:t>
        <w:br/>
        <w:t>• Çox-Buludlu (Multi-Cloud) Saxlanc Dəstəyi: Hazırda Supabase və yerli adapterlər mövcuddur; gələcəkdə birbaşa Google Cloud Storage və Azure Blob saxlanc adapterlərinin əlavə olunması nəzərdə tutulur.</w:t>
      </w:r>
    </w:p>
    <w:p>
      <w:pPr>
        <w:keepNext/>
        <w:spacing w:before="400" w:after="120"/>
      </w:pPr>
      <w:r>
        <w:rPr>
          <w:rFonts w:ascii="Calibri" w:hAnsi="Calibri"/>
          <w:b/>
          <w:color w:val="0F172A"/>
          <w:sz w:val="32"/>
        </w:rPr>
        <w:t>14. İstifadə Edilmiş Ədəbiyyat və Beynəlxalq Standartlar</w:t>
      </w:r>
    </w:p>
    <w:p>
      <w:pPr>
        <w:spacing w:line="276" w:lineRule="auto" w:after="60"/>
      </w:pPr>
      <w:r>
        <w:rPr>
          <w:rFonts w:ascii="Calibri" w:hAnsi="Calibri"/>
          <w:color w:val="1E293B"/>
          <w:sz w:val="22"/>
        </w:rPr>
        <w:t>[1] ISO/IEC 27001:2022 — Information security, cybersecurity and privacy protection — Information security management systems — Requirements.</w:t>
      </w:r>
    </w:p>
    <w:p>
      <w:pPr>
        <w:spacing w:line="276" w:lineRule="auto" w:after="60"/>
      </w:pPr>
      <w:r>
        <w:rPr>
          <w:rFonts w:ascii="Calibri" w:hAnsi="Calibri"/>
          <w:color w:val="1E293B"/>
          <w:sz w:val="22"/>
        </w:rPr>
        <w:t>[2] ISO/IEC 27002:2022 — Information security, cybersecurity and privacy protection — Information security controls.</w:t>
      </w:r>
    </w:p>
    <w:p>
      <w:pPr>
        <w:spacing w:line="276" w:lineRule="auto" w:after="60"/>
      </w:pPr>
      <w:r>
        <w:rPr>
          <w:rFonts w:ascii="Calibri" w:hAnsi="Calibri"/>
          <w:color w:val="1E293B"/>
          <w:sz w:val="22"/>
        </w:rPr>
        <w:t>[3] NIST Cybersecurity Framework (CSF) 2.0 (2024) — National Institute of Standards and Technology.</w:t>
      </w:r>
    </w:p>
    <w:p>
      <w:pPr>
        <w:spacing w:line="276" w:lineRule="auto" w:after="60"/>
      </w:pPr>
      <w:r>
        <w:rPr>
          <w:rFonts w:ascii="Calibri" w:hAnsi="Calibri"/>
          <w:color w:val="1E293B"/>
          <w:sz w:val="22"/>
        </w:rPr>
        <w:t>[4] NIST SP 800-61 Rev. 2 (2012) — Computer Security Incident Handling Guide.</w:t>
      </w:r>
    </w:p>
    <w:p>
      <w:pPr>
        <w:spacing w:line="276" w:lineRule="auto" w:after="60"/>
      </w:pPr>
      <w:r>
        <w:rPr>
          <w:rFonts w:ascii="Calibri" w:hAnsi="Calibri"/>
          <w:color w:val="1E293B"/>
          <w:sz w:val="22"/>
        </w:rPr>
        <w:t>[5] NIST FIPS 180-4 (2015) — Secure Hash Standard (SHS) — SHA-256 Specification.</w:t>
      </w:r>
    </w:p>
    <w:p>
      <w:pPr>
        <w:spacing w:line="276" w:lineRule="auto" w:after="60"/>
      </w:pPr>
      <w:r>
        <w:rPr>
          <w:rFonts w:ascii="Calibri" w:hAnsi="Calibri"/>
          <w:color w:val="1E293B"/>
          <w:sz w:val="22"/>
        </w:rPr>
        <w:t>[6] NIST SP 800-38D (2007) — Recommendation for Block Cipher Modes of Operation: Galois/Counter Mode (GCM) and GMAC.</w:t>
      </w:r>
    </w:p>
    <w:p>
      <w:pPr>
        <w:spacing w:line="276" w:lineRule="auto" w:after="60"/>
      </w:pPr>
      <w:r>
        <w:rPr>
          <w:rFonts w:ascii="Calibri" w:hAnsi="Calibri"/>
          <w:color w:val="1E293B"/>
          <w:sz w:val="22"/>
        </w:rPr>
        <w:t>[7] RFC 8032 (2017) — Edwards-Curve Digital Signature Algorithm (EdDSA) — Ed25519 Specification.</w:t>
      </w:r>
    </w:p>
    <w:p>
      <w:pPr>
        <w:spacing w:line="276" w:lineRule="auto" w:after="60"/>
      </w:pPr>
      <w:r>
        <w:rPr>
          <w:rFonts w:ascii="Calibri" w:hAnsi="Calibri"/>
          <w:color w:val="1E293B"/>
          <w:sz w:val="22"/>
        </w:rPr>
        <w:t>[8] Merkle, R. C. (1987) — A Digital Signature Based on a Conventional Encryption Function. Advances in Cryptology — CRYPTO '87.</w:t>
      </w:r>
    </w:p>
    <w:p>
      <w:pPr>
        <w:spacing w:line="276" w:lineRule="auto" w:after="60"/>
      </w:pPr>
      <w:r>
        <w:rPr>
          <w:rFonts w:ascii="Calibri" w:hAnsi="Calibri"/>
          <w:color w:val="1E293B"/>
          <w:sz w:val="22"/>
        </w:rPr>
        <w:t>[9] Supabase Documentation (2026) — Storage Access Control, Row Level Security, and Postgres Architecture.</w:t>
      </w:r>
    </w:p>
    <w:p>
      <w:r>
        <w:br w:type="page"/>
      </w:r>
    </w:p>
    <w:p>
      <w:pPr>
        <w:keepNext/>
        <w:spacing w:before="400" w:after="120"/>
      </w:pPr>
      <w:r>
        <w:rPr>
          <w:rFonts w:ascii="Calibri" w:hAnsi="Calibri"/>
          <w:b/>
          <w:color w:val="0F172A"/>
          <w:sz w:val="32"/>
        </w:rPr>
        <w:t>Əlavə A: Sübut Jurnalı (Evidence Log) və Tamamlanma Xülasəsi</w:t>
      </w:r>
    </w:p>
    <w:p>
      <w:pPr>
        <w:spacing w:line="276" w:lineRule="auto" w:after="100"/>
      </w:pPr>
      <w:r>
        <w:rPr>
          <w:rFonts w:ascii="Calibri" w:hAnsi="Calibri"/>
          <w:color w:val="1E293B"/>
          <w:sz w:val="22"/>
        </w:rPr>
        <w:t>Hesabatda təqdim edilmiş bütün 24 ədəd ekran görüntüsü, qrafik və eksperiment nəticəsi real işlək CloudRDR sistemindən əldə edilmişdir. Hər bir sübut faylı layihənin `report/screenshots/` kataloqunda saxlanılır. Aşağıdakı cədvəl həmin sübutların xronoloji reyestrini əks etdirir:</w:t>
      </w:r>
    </w:p>
    <w:tbl>
      <w:tblPr>
        <w:tblW w:type="auto" w:w="0"/>
        <w:jc w:val="center"/>
        <w:tblLook w:firstColumn="1" w:firstRow="1" w:lastColumn="0" w:lastRow="0" w:noHBand="0" w:noVBand="1" w:val="04A0"/>
      </w:tblPr>
      <w:tblGrid>
        <w:gridCol w:w="2268"/>
        <w:gridCol w:w="2268"/>
        <w:gridCol w:w="2268"/>
        <w:gridCol w:w="2268"/>
      </w:tblGrid>
      <w:tr>
        <w:tc>
          <w:tcPr>
            <w:tcW w:type="dxa" w:w="864"/>
            <w:shd w:fill="0F172A"/>
            <w:tcMar>
              <w:top w:w="90" w:type="dxa"/>
              <w:bottom w:w="90" w:type="dxa"/>
              <w:left w:w="100" w:type="dxa"/>
              <w:right w:w="100" w:type="dxa"/>
            </w:tcMar>
          </w:tcPr>
          <w:p>
            <w:pPr>
              <w:jc w:val="center"/>
            </w:pPr>
            <w:r>
              <w:rPr>
                <w:rFonts w:ascii="Calibri" w:hAnsi="Calibri"/>
                <w:b/>
                <w:color w:val="FFFFFF"/>
                <w:sz w:val="19"/>
              </w:rPr>
              <w:t>№</w:t>
            </w:r>
          </w:p>
        </w:tc>
        <w:tc>
          <w:tcPr>
            <w:tcW w:type="dxa" w:w="3168"/>
            <w:shd w:fill="0F172A"/>
            <w:tcMar>
              <w:top w:w="90" w:type="dxa"/>
              <w:bottom w:w="90" w:type="dxa"/>
              <w:left w:w="100" w:type="dxa"/>
              <w:right w:w="100" w:type="dxa"/>
            </w:tcMar>
          </w:tcPr>
          <w:p>
            <w:pPr>
              <w:jc w:val="left"/>
            </w:pPr>
            <w:r>
              <w:rPr>
                <w:rFonts w:ascii="Calibri" w:hAnsi="Calibri"/>
                <w:b/>
                <w:color w:val="FFFFFF"/>
                <w:sz w:val="19"/>
              </w:rPr>
              <w:t>Fayl Adı</w:t>
            </w:r>
          </w:p>
        </w:tc>
        <w:tc>
          <w:tcPr>
            <w:tcW w:type="dxa" w:w="2592"/>
            <w:shd w:fill="0F172A"/>
            <w:tcMar>
              <w:top w:w="90" w:type="dxa"/>
              <w:bottom w:w="90" w:type="dxa"/>
              <w:left w:w="100" w:type="dxa"/>
              <w:right w:w="100" w:type="dxa"/>
            </w:tcMar>
          </w:tcPr>
          <w:p>
            <w:pPr>
              <w:jc w:val="left"/>
            </w:pPr>
            <w:r>
              <w:rPr>
                <w:rFonts w:ascii="Calibri" w:hAnsi="Calibri"/>
                <w:b/>
                <w:color w:val="FFFFFF"/>
                <w:sz w:val="19"/>
              </w:rPr>
              <w:t>Mövzu / Təsvir</w:t>
            </w:r>
          </w:p>
        </w:tc>
        <w:tc>
          <w:tcPr>
            <w:tcW w:type="dxa" w:w="2448"/>
            <w:shd w:fill="0F172A"/>
            <w:tcMar>
              <w:top w:w="90" w:type="dxa"/>
              <w:bottom w:w="90" w:type="dxa"/>
              <w:left w:w="100" w:type="dxa"/>
              <w:right w:w="100" w:type="dxa"/>
            </w:tcMar>
          </w:tcPr>
          <w:p>
            <w:pPr>
              <w:jc w:val="left"/>
            </w:pPr>
            <w:r>
              <w:rPr>
                <w:rFonts w:ascii="Calibri" w:hAnsi="Calibri"/>
                <w:b/>
                <w:color w:val="FFFFFF"/>
                <w:sz w:val="19"/>
              </w:rPr>
              <w:t>İcra Əmri / Mənbə</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1</w:t>
            </w:r>
          </w:p>
        </w:tc>
        <w:tc>
          <w:tcPr>
            <w:tcW w:type="dxa" w:w="3168"/>
            <w:shd w:fill="FFFFFF"/>
            <w:tcMar>
              <w:top w:w="70" w:type="dxa"/>
              <w:bottom w:w="70" w:type="dxa"/>
              <w:left w:w="100" w:type="dxa"/>
              <w:right w:w="100" w:type="dxa"/>
            </w:tcMar>
          </w:tcPr>
          <w:p>
            <w:pPr>
              <w:jc w:val="left"/>
            </w:pPr>
            <w:r>
              <w:rPr>
                <w:rFonts w:ascii="Calibri" w:hAnsi="Calibri"/>
                <w:color w:val="1E293B"/>
                <w:sz w:val="18"/>
              </w:rPr>
              <w:t>01_project_structure_and_test_suite.png</w:t>
            </w:r>
          </w:p>
        </w:tc>
        <w:tc>
          <w:tcPr>
            <w:tcW w:type="dxa" w:w="2592"/>
            <w:shd w:fill="FFFFFF"/>
            <w:tcMar>
              <w:top w:w="70" w:type="dxa"/>
              <w:bottom w:w="70" w:type="dxa"/>
              <w:left w:w="100" w:type="dxa"/>
              <w:right w:w="100" w:type="dxa"/>
            </w:tcMar>
          </w:tcPr>
          <w:p>
            <w:pPr>
              <w:jc w:val="left"/>
            </w:pPr>
            <w:r>
              <w:rPr>
                <w:rFonts w:ascii="Calibri" w:hAnsi="Calibri"/>
                <w:color w:val="1E293B"/>
                <w:sz w:val="18"/>
              </w:rPr>
              <w:t>Vahid və İnteqrasiya Testləri (74/74)</w:t>
            </w:r>
          </w:p>
        </w:tc>
        <w:tc>
          <w:tcPr>
            <w:tcW w:type="dxa" w:w="2448"/>
            <w:shd w:fill="FFFFFF"/>
            <w:tcMar>
              <w:top w:w="70" w:type="dxa"/>
              <w:bottom w:w="70" w:type="dxa"/>
              <w:left w:w="100" w:type="dxa"/>
              <w:right w:w="100" w:type="dxa"/>
            </w:tcMar>
          </w:tcPr>
          <w:p>
            <w:pPr>
              <w:jc w:val="left"/>
            </w:pPr>
            <w:r>
              <w:rPr>
                <w:rFonts w:ascii="Calibri" w:hAnsi="Calibri"/>
                <w:color w:val="1E293B"/>
                <w:sz w:val="18"/>
              </w:rPr>
              <w:t>npm test</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2</w:t>
            </w:r>
          </w:p>
        </w:tc>
        <w:tc>
          <w:tcPr>
            <w:tcW w:type="dxa" w:w="3168"/>
            <w:shd w:fill="F8FAFC"/>
            <w:tcMar>
              <w:top w:w="70" w:type="dxa"/>
              <w:bottom w:w="70" w:type="dxa"/>
              <w:left w:w="100" w:type="dxa"/>
              <w:right w:w="100" w:type="dxa"/>
            </w:tcMar>
          </w:tcPr>
          <w:p>
            <w:pPr>
              <w:jc w:val="left"/>
            </w:pPr>
            <w:r>
              <w:rPr>
                <w:rFonts w:ascii="Calibri" w:hAnsi="Calibri"/>
                <w:color w:val="1E293B"/>
                <w:sz w:val="18"/>
              </w:rPr>
              <w:t>02_supabase_storage_and_rls.png</w:t>
            </w:r>
          </w:p>
        </w:tc>
        <w:tc>
          <w:tcPr>
            <w:tcW w:type="dxa" w:w="2592"/>
            <w:shd w:fill="F8FAFC"/>
            <w:tcMar>
              <w:top w:w="70" w:type="dxa"/>
              <w:bottom w:w="70" w:type="dxa"/>
              <w:left w:w="100" w:type="dxa"/>
              <w:right w:w="100" w:type="dxa"/>
            </w:tcMar>
          </w:tcPr>
          <w:p>
            <w:pPr>
              <w:jc w:val="left"/>
            </w:pPr>
            <w:r>
              <w:rPr>
                <w:rFonts w:ascii="Calibri" w:hAnsi="Calibri"/>
                <w:color w:val="1E293B"/>
                <w:sz w:val="18"/>
              </w:rPr>
              <w:t>Supabase Sıfır-Etibar RLS Siyasətləri</w:t>
            </w:r>
          </w:p>
        </w:tc>
        <w:tc>
          <w:tcPr>
            <w:tcW w:type="dxa" w:w="2448"/>
            <w:shd w:fill="F8FAFC"/>
            <w:tcMar>
              <w:top w:w="70" w:type="dxa"/>
              <w:bottom w:w="70" w:type="dxa"/>
              <w:left w:w="100" w:type="dxa"/>
              <w:right w:w="100" w:type="dxa"/>
            </w:tcMar>
          </w:tcPr>
          <w:p>
            <w:pPr>
              <w:jc w:val="left"/>
            </w:pPr>
            <w:r>
              <w:rPr>
                <w:rFonts w:ascii="Calibri" w:hAnsi="Calibri"/>
                <w:color w:val="1E293B"/>
                <w:sz w:val="18"/>
              </w:rPr>
              <w:t>psql db/migrations/001_init.sql</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3</w:t>
            </w:r>
          </w:p>
        </w:tc>
        <w:tc>
          <w:tcPr>
            <w:tcW w:type="dxa" w:w="3168"/>
            <w:shd w:fill="FFFFFF"/>
            <w:tcMar>
              <w:top w:w="70" w:type="dxa"/>
              <w:bottom w:w="70" w:type="dxa"/>
              <w:left w:w="100" w:type="dxa"/>
              <w:right w:w="100" w:type="dxa"/>
            </w:tcMar>
          </w:tcPr>
          <w:p>
            <w:pPr>
              <w:jc w:val="left"/>
            </w:pPr>
            <w:r>
              <w:rPr>
                <w:rFonts w:ascii="Calibri" w:hAnsi="Calibri"/>
                <w:color w:val="1E293B"/>
                <w:sz w:val="18"/>
              </w:rPr>
              <w:t>03_baseline_generation_terminal.png</w:t>
            </w:r>
          </w:p>
        </w:tc>
        <w:tc>
          <w:tcPr>
            <w:tcW w:type="dxa" w:w="2592"/>
            <w:shd w:fill="FFFFFF"/>
            <w:tcMar>
              <w:top w:w="70" w:type="dxa"/>
              <w:bottom w:w="70" w:type="dxa"/>
              <w:left w:w="100" w:type="dxa"/>
              <w:right w:w="100" w:type="dxa"/>
            </w:tcMar>
          </w:tcPr>
          <w:p>
            <w:pPr>
              <w:jc w:val="left"/>
            </w:pPr>
            <w:r>
              <w:rPr>
                <w:rFonts w:ascii="Calibri" w:hAnsi="Calibri"/>
                <w:color w:val="1E293B"/>
                <w:sz w:val="18"/>
              </w:rPr>
              <w:t>SHA-256 &amp; Merkle Kökünün Yaranması</w:t>
            </w:r>
          </w:p>
        </w:tc>
        <w:tc>
          <w:tcPr>
            <w:tcW w:type="dxa" w:w="2448"/>
            <w:shd w:fill="FFFFFF"/>
            <w:tcMar>
              <w:top w:w="70" w:type="dxa"/>
              <w:bottom w:w="70" w:type="dxa"/>
              <w:left w:w="100" w:type="dxa"/>
              <w:right w:w="100" w:type="dxa"/>
            </w:tcMar>
          </w:tcPr>
          <w:p>
            <w:pPr>
              <w:jc w:val="left"/>
            </w:pPr>
            <w:r>
              <w:rPr>
                <w:rFonts w:ascii="Calibri" w:hAnsi="Calibri"/>
                <w:color w:val="1E293B"/>
                <w:sz w:val="18"/>
              </w:rPr>
              <w:t>npm run seed</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4</w:t>
            </w:r>
          </w:p>
        </w:tc>
        <w:tc>
          <w:tcPr>
            <w:tcW w:type="dxa" w:w="3168"/>
            <w:shd w:fill="F8FAFC"/>
            <w:tcMar>
              <w:top w:w="70" w:type="dxa"/>
              <w:bottom w:w="70" w:type="dxa"/>
              <w:left w:w="100" w:type="dxa"/>
              <w:right w:w="100" w:type="dxa"/>
            </w:tcMar>
          </w:tcPr>
          <w:p>
            <w:pPr>
              <w:jc w:val="left"/>
            </w:pPr>
            <w:r>
              <w:rPr>
                <w:rFonts w:ascii="Calibri" w:hAnsi="Calibri"/>
                <w:color w:val="1E293B"/>
                <w:sz w:val="18"/>
              </w:rPr>
              <w:t>04_soc_dashboard_calm.png</w:t>
            </w:r>
          </w:p>
        </w:tc>
        <w:tc>
          <w:tcPr>
            <w:tcW w:type="dxa" w:w="2592"/>
            <w:shd w:fill="F8FAFC"/>
            <w:tcMar>
              <w:top w:w="70" w:type="dxa"/>
              <w:bottom w:w="70" w:type="dxa"/>
              <w:left w:w="100" w:type="dxa"/>
              <w:right w:w="100" w:type="dxa"/>
            </w:tcMar>
          </w:tcPr>
          <w:p>
            <w:pPr>
              <w:jc w:val="left"/>
            </w:pPr>
            <w:r>
              <w:rPr>
                <w:rFonts w:ascii="Calibri" w:hAnsi="Calibri"/>
                <w:color w:val="1E293B"/>
                <w:sz w:val="18"/>
              </w:rPr>
              <w:t>SOC Konsolunun Sakit (Calm) Vəziyyəti</w:t>
            </w:r>
          </w:p>
        </w:tc>
        <w:tc>
          <w:tcPr>
            <w:tcW w:type="dxa" w:w="2448"/>
            <w:shd w:fill="F8FAFC"/>
            <w:tcMar>
              <w:top w:w="70" w:type="dxa"/>
              <w:bottom w:w="70" w:type="dxa"/>
              <w:left w:w="100" w:type="dxa"/>
              <w:right w:w="100" w:type="dxa"/>
            </w:tcMar>
          </w:tcPr>
          <w:p>
            <w:pPr>
              <w:jc w:val="left"/>
            </w:pPr>
            <w:r>
              <w:rPr>
                <w:rFonts w:ascii="Calibri" w:hAnsi="Calibri"/>
                <w:color w:val="1E293B"/>
                <w:sz w:val="18"/>
              </w:rPr>
              <w:t>Vercel Production Demo</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5</w:t>
            </w:r>
          </w:p>
        </w:tc>
        <w:tc>
          <w:tcPr>
            <w:tcW w:type="dxa" w:w="3168"/>
            <w:shd w:fill="FFFFFF"/>
            <w:tcMar>
              <w:top w:w="70" w:type="dxa"/>
              <w:bottom w:w="70" w:type="dxa"/>
              <w:left w:w="100" w:type="dxa"/>
              <w:right w:w="100" w:type="dxa"/>
            </w:tcMar>
          </w:tcPr>
          <w:p>
            <w:pPr>
              <w:jc w:val="left"/>
            </w:pPr>
            <w:r>
              <w:rPr>
                <w:rFonts w:ascii="Calibri" w:hAnsi="Calibri"/>
                <w:color w:val="1E293B"/>
                <w:sz w:val="18"/>
              </w:rPr>
              <w:t>05_detection_sliding_window_graph.png</w:t>
            </w:r>
          </w:p>
        </w:tc>
        <w:tc>
          <w:tcPr>
            <w:tcW w:type="dxa" w:w="2592"/>
            <w:shd w:fill="FFFFFF"/>
            <w:tcMar>
              <w:top w:w="70" w:type="dxa"/>
              <w:bottom w:w="70" w:type="dxa"/>
              <w:left w:w="100" w:type="dxa"/>
              <w:right w:w="100" w:type="dxa"/>
            </w:tcMar>
          </w:tcPr>
          <w:p>
            <w:pPr>
              <w:jc w:val="left"/>
            </w:pPr>
            <w:r>
              <w:rPr>
                <w:rFonts w:ascii="Calibri" w:hAnsi="Calibri"/>
                <w:color w:val="1E293B"/>
                <w:sz w:val="18"/>
              </w:rPr>
              <w:t>60s Sürüşən Zaman Pəncərəsi Qrafiki</w:t>
            </w:r>
          </w:p>
        </w:tc>
        <w:tc>
          <w:tcPr>
            <w:tcW w:type="dxa" w:w="2448"/>
            <w:shd w:fill="FFFFFF"/>
            <w:tcMar>
              <w:top w:w="70" w:type="dxa"/>
              <w:bottom w:w="70" w:type="dxa"/>
              <w:left w:w="100" w:type="dxa"/>
              <w:right w:w="100" w:type="dxa"/>
            </w:tcMar>
          </w:tcPr>
          <w:p>
            <w:pPr>
              <w:jc w:val="left"/>
            </w:pPr>
            <w:r>
              <w:rPr>
                <w:rFonts w:ascii="Calibri" w:hAnsi="Calibri"/>
                <w:color w:val="1E293B"/>
                <w:sz w:val="18"/>
              </w:rPr>
              <w:t>Live Detection Chart Component</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6</w:t>
            </w:r>
          </w:p>
        </w:tc>
        <w:tc>
          <w:tcPr>
            <w:tcW w:type="dxa" w:w="3168"/>
            <w:shd w:fill="F8FAFC"/>
            <w:tcMar>
              <w:top w:w="70" w:type="dxa"/>
              <w:bottom w:w="70" w:type="dxa"/>
              <w:left w:w="100" w:type="dxa"/>
              <w:right w:w="100" w:type="dxa"/>
            </w:tcMar>
          </w:tcPr>
          <w:p>
            <w:pPr>
              <w:jc w:val="left"/>
            </w:pPr>
            <w:r>
              <w:rPr>
                <w:rFonts w:ascii="Calibri" w:hAnsi="Calibri"/>
                <w:color w:val="1E293B"/>
                <w:sz w:val="18"/>
              </w:rPr>
              <w:t>06_canary_tripwire_triggered.png</w:t>
            </w:r>
          </w:p>
        </w:tc>
        <w:tc>
          <w:tcPr>
            <w:tcW w:type="dxa" w:w="2592"/>
            <w:shd w:fill="F8FAFC"/>
            <w:tcMar>
              <w:top w:w="70" w:type="dxa"/>
              <w:bottom w:w="70" w:type="dxa"/>
              <w:left w:w="100" w:type="dxa"/>
              <w:right w:w="100" w:type="dxa"/>
            </w:tcMar>
          </w:tcPr>
          <w:p>
            <w:pPr>
              <w:jc w:val="left"/>
            </w:pPr>
            <w:r>
              <w:rPr>
                <w:rFonts w:ascii="Calibri" w:hAnsi="Calibri"/>
                <w:color w:val="1E293B"/>
                <w:sz w:val="18"/>
              </w:rPr>
              <w:t>Canary Tələsinə Toxunuldu Siqnalı</w:t>
            </w:r>
          </w:p>
        </w:tc>
        <w:tc>
          <w:tcPr>
            <w:tcW w:type="dxa" w:w="2448"/>
            <w:shd w:fill="F8FAFC"/>
            <w:tcMar>
              <w:top w:w="70" w:type="dxa"/>
              <w:bottom w:w="70" w:type="dxa"/>
              <w:left w:w="100" w:type="dxa"/>
              <w:right w:w="100" w:type="dxa"/>
            </w:tcMar>
          </w:tcPr>
          <w:p>
            <w:pPr>
              <w:jc w:val="left"/>
            </w:pPr>
            <w:r>
              <w:rPr>
                <w:rFonts w:ascii="Calibri" w:hAnsi="Calibri"/>
                <w:color w:val="1E293B"/>
                <w:sz w:val="18"/>
              </w:rPr>
              <w:t>btnDrillCanary.click()</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7</w:t>
            </w:r>
          </w:p>
        </w:tc>
        <w:tc>
          <w:tcPr>
            <w:tcW w:type="dxa" w:w="3168"/>
            <w:shd w:fill="FFFFFF"/>
            <w:tcMar>
              <w:top w:w="70" w:type="dxa"/>
              <w:bottom w:w="70" w:type="dxa"/>
              <w:left w:w="100" w:type="dxa"/>
              <w:right w:w="100" w:type="dxa"/>
            </w:tcMar>
          </w:tcPr>
          <w:p>
            <w:pPr>
              <w:jc w:val="left"/>
            </w:pPr>
            <w:r>
              <w:rPr>
                <w:rFonts w:ascii="Calibri" w:hAnsi="Calibri"/>
                <w:color w:val="1E293B"/>
                <w:sz w:val="18"/>
              </w:rPr>
              <w:t>07_merkle_tree_corruption_climb.png</w:t>
            </w:r>
          </w:p>
        </w:tc>
        <w:tc>
          <w:tcPr>
            <w:tcW w:type="dxa" w:w="2592"/>
            <w:shd w:fill="FFFFFF"/>
            <w:tcMar>
              <w:top w:w="70" w:type="dxa"/>
              <w:bottom w:w="70" w:type="dxa"/>
              <w:left w:w="100" w:type="dxa"/>
              <w:right w:w="100" w:type="dxa"/>
            </w:tcMar>
          </w:tcPr>
          <w:p>
            <w:pPr>
              <w:jc w:val="left"/>
            </w:pPr>
            <w:r>
              <w:rPr>
                <w:rFonts w:ascii="Calibri" w:hAnsi="Calibri"/>
                <w:color w:val="1E293B"/>
                <w:sz w:val="18"/>
              </w:rPr>
              <w:t>Merkle Ağacında Korlanmanın Yayılması</w:t>
            </w:r>
          </w:p>
        </w:tc>
        <w:tc>
          <w:tcPr>
            <w:tcW w:type="dxa" w:w="2448"/>
            <w:shd w:fill="FFFFFF"/>
            <w:tcMar>
              <w:top w:w="70" w:type="dxa"/>
              <w:bottom w:w="70" w:type="dxa"/>
              <w:left w:w="100" w:type="dxa"/>
              <w:right w:w="100" w:type="dxa"/>
            </w:tcMar>
          </w:tcPr>
          <w:p>
            <w:pPr>
              <w:jc w:val="left"/>
            </w:pPr>
            <w:r>
              <w:rPr>
                <w:rFonts w:ascii="Calibri" w:hAnsi="Calibri"/>
                <w:color w:val="1E293B"/>
                <w:sz w:val="18"/>
              </w:rPr>
              <w:t>btnDrillBurst.click()</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8</w:t>
            </w:r>
          </w:p>
        </w:tc>
        <w:tc>
          <w:tcPr>
            <w:tcW w:type="dxa" w:w="3168"/>
            <w:shd w:fill="F8FAFC"/>
            <w:tcMar>
              <w:top w:w="70" w:type="dxa"/>
              <w:bottom w:w="70" w:type="dxa"/>
              <w:left w:w="100" w:type="dxa"/>
              <w:right w:w="100" w:type="dxa"/>
            </w:tcMar>
          </w:tcPr>
          <w:p>
            <w:pPr>
              <w:jc w:val="left"/>
            </w:pPr>
            <w:r>
              <w:rPr>
                <w:rFonts w:ascii="Calibri" w:hAnsi="Calibri"/>
                <w:color w:val="1E293B"/>
                <w:sz w:val="18"/>
              </w:rPr>
              <w:t>08_account_frozen_iam_policy.png</w:t>
            </w:r>
          </w:p>
        </w:tc>
        <w:tc>
          <w:tcPr>
            <w:tcW w:type="dxa" w:w="2592"/>
            <w:shd w:fill="F8FAFC"/>
            <w:tcMar>
              <w:top w:w="70" w:type="dxa"/>
              <w:bottom w:w="70" w:type="dxa"/>
              <w:left w:w="100" w:type="dxa"/>
              <w:right w:w="100" w:type="dxa"/>
            </w:tcMar>
          </w:tcPr>
          <w:p>
            <w:pPr>
              <w:jc w:val="left"/>
            </w:pPr>
            <w:r>
              <w:rPr>
                <w:rFonts w:ascii="Calibri" w:hAnsi="Calibri"/>
                <w:color w:val="1E293B"/>
                <w:sz w:val="18"/>
              </w:rPr>
              <w:t>IAM Write-Freeze Siyasətinin Tətbiqi</w:t>
            </w:r>
          </w:p>
        </w:tc>
        <w:tc>
          <w:tcPr>
            <w:tcW w:type="dxa" w:w="2448"/>
            <w:shd w:fill="F8FAFC"/>
            <w:tcMar>
              <w:top w:w="70" w:type="dxa"/>
              <w:bottom w:w="70" w:type="dxa"/>
              <w:left w:w="100" w:type="dxa"/>
              <w:right w:w="100" w:type="dxa"/>
            </w:tcMar>
          </w:tcPr>
          <w:p>
            <w:pPr>
              <w:jc w:val="left"/>
            </w:pPr>
            <w:r>
              <w:rPr>
                <w:rFonts w:ascii="Calibri" w:hAnsi="Calibri"/>
                <w:color w:val="1E293B"/>
                <w:sz w:val="18"/>
              </w:rPr>
              <w:t>btnDrillFreeze.click()</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9</w:t>
            </w:r>
          </w:p>
        </w:tc>
        <w:tc>
          <w:tcPr>
            <w:tcW w:type="dxa" w:w="3168"/>
            <w:shd w:fill="FFFFFF"/>
            <w:tcMar>
              <w:top w:w="70" w:type="dxa"/>
              <w:bottom w:w="70" w:type="dxa"/>
              <w:left w:w="100" w:type="dxa"/>
              <w:right w:w="100" w:type="dxa"/>
            </w:tcMar>
          </w:tcPr>
          <w:p>
            <w:pPr>
              <w:jc w:val="left"/>
            </w:pPr>
            <w:r>
              <w:rPr>
                <w:rFonts w:ascii="Calibri" w:hAnsi="Calibri"/>
                <w:color w:val="1E293B"/>
                <w:sz w:val="18"/>
              </w:rPr>
              <w:t>09_incident_detail_ed25519_valid.png</w:t>
            </w:r>
          </w:p>
        </w:tc>
        <w:tc>
          <w:tcPr>
            <w:tcW w:type="dxa" w:w="2592"/>
            <w:shd w:fill="FFFFFF"/>
            <w:tcMar>
              <w:top w:w="70" w:type="dxa"/>
              <w:bottom w:w="70" w:type="dxa"/>
              <w:left w:w="100" w:type="dxa"/>
              <w:right w:w="100" w:type="dxa"/>
            </w:tcMar>
          </w:tcPr>
          <w:p>
            <w:pPr>
              <w:jc w:val="left"/>
            </w:pPr>
            <w:r>
              <w:rPr>
                <w:rFonts w:ascii="Calibri" w:hAnsi="Calibri"/>
                <w:color w:val="1E293B"/>
                <w:sz w:val="18"/>
              </w:rPr>
              <w:t>RFC 8032 Ed25519 İnsident İmzası</w:t>
            </w:r>
          </w:p>
        </w:tc>
        <w:tc>
          <w:tcPr>
            <w:tcW w:type="dxa" w:w="2448"/>
            <w:shd w:fill="FFFFFF"/>
            <w:tcMar>
              <w:top w:w="70" w:type="dxa"/>
              <w:bottom w:w="70" w:type="dxa"/>
              <w:left w:w="100" w:type="dxa"/>
              <w:right w:w="100" w:type="dxa"/>
            </w:tcMar>
          </w:tcPr>
          <w:p>
            <w:pPr>
              <w:jc w:val="left"/>
            </w:pPr>
            <w:r>
              <w:rPr>
                <w:rFonts w:ascii="Calibri" w:hAnsi="Calibri"/>
                <w:color w:val="1E293B"/>
                <w:sz w:val="18"/>
              </w:rPr>
              <w:t>signRecord() / verifyRecord()</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10</w:t>
            </w:r>
          </w:p>
        </w:tc>
        <w:tc>
          <w:tcPr>
            <w:tcW w:type="dxa" w:w="3168"/>
            <w:shd w:fill="F8FAFC"/>
            <w:tcMar>
              <w:top w:w="70" w:type="dxa"/>
              <w:bottom w:w="70" w:type="dxa"/>
              <w:left w:w="100" w:type="dxa"/>
              <w:right w:w="100" w:type="dxa"/>
            </w:tcMar>
          </w:tcPr>
          <w:p>
            <w:pPr>
              <w:jc w:val="left"/>
            </w:pPr>
            <w:r>
              <w:rPr>
                <w:rFonts w:ascii="Calibri" w:hAnsi="Calibri"/>
                <w:color w:val="1E293B"/>
                <w:sz w:val="18"/>
              </w:rPr>
              <w:t>10_audit_chain_intact.png</w:t>
            </w:r>
          </w:p>
        </w:tc>
        <w:tc>
          <w:tcPr>
            <w:tcW w:type="dxa" w:w="2592"/>
            <w:shd w:fill="F8FAFC"/>
            <w:tcMar>
              <w:top w:w="70" w:type="dxa"/>
              <w:bottom w:w="70" w:type="dxa"/>
              <w:left w:w="100" w:type="dxa"/>
              <w:right w:w="100" w:type="dxa"/>
            </w:tcMar>
          </w:tcPr>
          <w:p>
            <w:pPr>
              <w:jc w:val="left"/>
            </w:pPr>
            <w:r>
              <w:rPr>
                <w:rFonts w:ascii="Calibri" w:hAnsi="Calibri"/>
                <w:color w:val="1E293B"/>
                <w:sz w:val="18"/>
              </w:rPr>
              <w:t>Dəyişdirilməz Zəncirvari Audit Jurnalı</w:t>
            </w:r>
          </w:p>
        </w:tc>
        <w:tc>
          <w:tcPr>
            <w:tcW w:type="dxa" w:w="2448"/>
            <w:shd w:fill="F8FAFC"/>
            <w:tcMar>
              <w:top w:w="70" w:type="dxa"/>
              <w:bottom w:w="70" w:type="dxa"/>
              <w:left w:w="100" w:type="dxa"/>
              <w:right w:w="100" w:type="dxa"/>
            </w:tcMar>
          </w:tcPr>
          <w:p>
            <w:pPr>
              <w:jc w:val="left"/>
            </w:pPr>
            <w:r>
              <w:rPr>
                <w:rFonts w:ascii="Calibri" w:hAnsi="Calibri"/>
                <w:color w:val="1E293B"/>
                <w:sz w:val="18"/>
              </w:rPr>
              <w:t>verifyAuditChain() [VALID]</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11</w:t>
            </w:r>
          </w:p>
        </w:tc>
        <w:tc>
          <w:tcPr>
            <w:tcW w:type="dxa" w:w="3168"/>
            <w:shd w:fill="FFFFFF"/>
            <w:tcMar>
              <w:top w:w="70" w:type="dxa"/>
              <w:bottom w:w="70" w:type="dxa"/>
              <w:left w:w="100" w:type="dxa"/>
              <w:right w:w="100" w:type="dxa"/>
            </w:tcMar>
          </w:tcPr>
          <w:p>
            <w:pPr>
              <w:jc w:val="left"/>
            </w:pPr>
            <w:r>
              <w:rPr>
                <w:rFonts w:ascii="Calibri" w:hAnsi="Calibri"/>
                <w:color w:val="1E293B"/>
                <w:sz w:val="18"/>
              </w:rPr>
              <w:t>11_audit_chain_tamper_detected.png</w:t>
            </w:r>
          </w:p>
        </w:tc>
        <w:tc>
          <w:tcPr>
            <w:tcW w:type="dxa" w:w="2592"/>
            <w:shd w:fill="FFFFFF"/>
            <w:tcMar>
              <w:top w:w="70" w:type="dxa"/>
              <w:bottom w:w="70" w:type="dxa"/>
              <w:left w:w="100" w:type="dxa"/>
              <w:right w:w="100" w:type="dxa"/>
            </w:tcMar>
          </w:tcPr>
          <w:p>
            <w:pPr>
              <w:jc w:val="left"/>
            </w:pPr>
            <w:r>
              <w:rPr>
                <w:rFonts w:ascii="Calibri" w:hAnsi="Calibri"/>
                <w:color w:val="1E293B"/>
                <w:sz w:val="18"/>
              </w:rPr>
              <w:t>Audit Jurnalında Qırılma Xəbərdarlığı</w:t>
            </w:r>
          </w:p>
        </w:tc>
        <w:tc>
          <w:tcPr>
            <w:tcW w:type="dxa" w:w="2448"/>
            <w:shd w:fill="FFFFFF"/>
            <w:tcMar>
              <w:top w:w="70" w:type="dxa"/>
              <w:bottom w:w="70" w:type="dxa"/>
              <w:left w:w="100" w:type="dxa"/>
              <w:right w:w="100" w:type="dxa"/>
            </w:tcMar>
          </w:tcPr>
          <w:p>
            <w:pPr>
              <w:jc w:val="left"/>
            </w:pPr>
            <w:r>
              <w:rPr>
                <w:rFonts w:ascii="Calibri" w:hAnsi="Calibri"/>
                <w:color w:val="1E293B"/>
                <w:sz w:val="18"/>
              </w:rPr>
              <w:t>verifyAuditChain() [BROKEN]</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12</w:t>
            </w:r>
          </w:p>
        </w:tc>
        <w:tc>
          <w:tcPr>
            <w:tcW w:type="dxa" w:w="3168"/>
            <w:shd w:fill="F8FAFC"/>
            <w:tcMar>
              <w:top w:w="70" w:type="dxa"/>
              <w:bottom w:w="70" w:type="dxa"/>
              <w:left w:w="100" w:type="dxa"/>
              <w:right w:w="100" w:type="dxa"/>
            </w:tcMar>
          </w:tcPr>
          <w:p>
            <w:pPr>
              <w:jc w:val="left"/>
            </w:pPr>
            <w:r>
              <w:rPr>
                <w:rFonts w:ascii="Calibri" w:hAnsi="Calibri"/>
                <w:color w:val="1E293B"/>
                <w:sz w:val="18"/>
              </w:rPr>
              <w:t>12_terminal_tamper_exp_aes_aead.png</w:t>
            </w:r>
          </w:p>
        </w:tc>
        <w:tc>
          <w:tcPr>
            <w:tcW w:type="dxa" w:w="2592"/>
            <w:shd w:fill="F8FAFC"/>
            <w:tcMar>
              <w:top w:w="70" w:type="dxa"/>
              <w:bottom w:w="70" w:type="dxa"/>
              <w:left w:w="100" w:type="dxa"/>
              <w:right w:w="100" w:type="dxa"/>
            </w:tcMar>
          </w:tcPr>
          <w:p>
            <w:pPr>
              <w:jc w:val="left"/>
            </w:pPr>
            <w:r>
              <w:rPr>
                <w:rFonts w:ascii="Calibri" w:hAnsi="Calibri"/>
                <w:color w:val="1E293B"/>
                <w:sz w:val="18"/>
              </w:rPr>
              <w:t>AES-GCM 1 Bayt Dəyişikliyin Rəddi</w:t>
            </w:r>
          </w:p>
        </w:tc>
        <w:tc>
          <w:tcPr>
            <w:tcW w:type="dxa" w:w="2448"/>
            <w:shd w:fill="F8FAFC"/>
            <w:tcMar>
              <w:top w:w="70" w:type="dxa"/>
              <w:bottom w:w="70" w:type="dxa"/>
              <w:left w:w="100" w:type="dxa"/>
              <w:right w:w="100" w:type="dxa"/>
            </w:tcMar>
          </w:tcPr>
          <w:p>
            <w:pPr>
              <w:jc w:val="left"/>
            </w:pPr>
            <w:r>
              <w:rPr>
                <w:rFonts w:ascii="Calibri" w:hAnsi="Calibri"/>
                <w:color w:val="1E293B"/>
                <w:sz w:val="18"/>
              </w:rPr>
              <w:t>demo-tampering-experiments.js</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13</w:t>
            </w:r>
          </w:p>
        </w:tc>
        <w:tc>
          <w:tcPr>
            <w:tcW w:type="dxa" w:w="3168"/>
            <w:shd w:fill="FFFFFF"/>
            <w:tcMar>
              <w:top w:w="70" w:type="dxa"/>
              <w:bottom w:w="70" w:type="dxa"/>
              <w:left w:w="100" w:type="dxa"/>
              <w:right w:w="100" w:type="dxa"/>
            </w:tcMar>
          </w:tcPr>
          <w:p>
            <w:pPr>
              <w:jc w:val="left"/>
            </w:pPr>
            <w:r>
              <w:rPr>
                <w:rFonts w:ascii="Calibri" w:hAnsi="Calibri"/>
                <w:color w:val="1E293B"/>
                <w:sz w:val="18"/>
              </w:rPr>
              <w:t>13_terminal_tamper_exp_ed25519_sig.png</w:t>
            </w:r>
          </w:p>
        </w:tc>
        <w:tc>
          <w:tcPr>
            <w:tcW w:type="dxa" w:w="2592"/>
            <w:shd w:fill="FFFFFF"/>
            <w:tcMar>
              <w:top w:w="70" w:type="dxa"/>
              <w:bottom w:w="70" w:type="dxa"/>
              <w:left w:w="100" w:type="dxa"/>
              <w:right w:w="100" w:type="dxa"/>
            </w:tcMar>
          </w:tcPr>
          <w:p>
            <w:pPr>
              <w:jc w:val="left"/>
            </w:pPr>
            <w:r>
              <w:rPr>
                <w:rFonts w:ascii="Calibri" w:hAnsi="Calibri"/>
                <w:color w:val="1E293B"/>
                <w:sz w:val="18"/>
              </w:rPr>
              <w:t>Ed25519 Saxtalaşdırmanın İfşası</w:t>
            </w:r>
          </w:p>
        </w:tc>
        <w:tc>
          <w:tcPr>
            <w:tcW w:type="dxa" w:w="2448"/>
            <w:shd w:fill="FFFFFF"/>
            <w:tcMar>
              <w:top w:w="70" w:type="dxa"/>
              <w:bottom w:w="70" w:type="dxa"/>
              <w:left w:w="100" w:type="dxa"/>
              <w:right w:w="100" w:type="dxa"/>
            </w:tcMar>
          </w:tcPr>
          <w:p>
            <w:pPr>
              <w:jc w:val="left"/>
            </w:pPr>
            <w:r>
              <w:rPr>
                <w:rFonts w:ascii="Calibri" w:hAnsi="Calibri"/>
                <w:color w:val="1E293B"/>
                <w:sz w:val="18"/>
              </w:rPr>
              <w:t>demo-tampering-experiments.js</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14</w:t>
            </w:r>
          </w:p>
        </w:tc>
        <w:tc>
          <w:tcPr>
            <w:tcW w:type="dxa" w:w="3168"/>
            <w:shd w:fill="F8FAFC"/>
            <w:tcMar>
              <w:top w:w="70" w:type="dxa"/>
              <w:bottom w:w="70" w:type="dxa"/>
              <w:left w:w="100" w:type="dxa"/>
              <w:right w:w="100" w:type="dxa"/>
            </w:tcMar>
          </w:tcPr>
          <w:p>
            <w:pPr>
              <w:jc w:val="left"/>
            </w:pPr>
            <w:r>
              <w:rPr>
                <w:rFonts w:ascii="Calibri" w:hAnsi="Calibri"/>
                <w:color w:val="1E293B"/>
                <w:sz w:val="18"/>
              </w:rPr>
              <w:t>14_terminal_tamper_exp_audit_chain.png</w:t>
            </w:r>
          </w:p>
        </w:tc>
        <w:tc>
          <w:tcPr>
            <w:tcW w:type="dxa" w:w="2592"/>
            <w:shd w:fill="F8FAFC"/>
            <w:tcMar>
              <w:top w:w="70" w:type="dxa"/>
              <w:bottom w:w="70" w:type="dxa"/>
              <w:left w:w="100" w:type="dxa"/>
              <w:right w:w="100" w:type="dxa"/>
            </w:tcMar>
          </w:tcPr>
          <w:p>
            <w:pPr>
              <w:jc w:val="left"/>
            </w:pPr>
            <w:r>
              <w:rPr>
                <w:rFonts w:ascii="Calibri" w:hAnsi="Calibri"/>
                <w:color w:val="1E293B"/>
                <w:sz w:val="18"/>
              </w:rPr>
              <w:t>prevHash Qırılmasının Sübutu</w:t>
            </w:r>
          </w:p>
        </w:tc>
        <w:tc>
          <w:tcPr>
            <w:tcW w:type="dxa" w:w="2448"/>
            <w:shd w:fill="F8FAFC"/>
            <w:tcMar>
              <w:top w:w="70" w:type="dxa"/>
              <w:bottom w:w="70" w:type="dxa"/>
              <w:left w:w="100" w:type="dxa"/>
              <w:right w:w="100" w:type="dxa"/>
            </w:tcMar>
          </w:tcPr>
          <w:p>
            <w:pPr>
              <w:jc w:val="left"/>
            </w:pPr>
            <w:r>
              <w:rPr>
                <w:rFonts w:ascii="Calibri" w:hAnsi="Calibri"/>
                <w:color w:val="1E293B"/>
                <w:sz w:val="18"/>
              </w:rPr>
              <w:t>demo-tampering-experiments.js</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15</w:t>
            </w:r>
          </w:p>
        </w:tc>
        <w:tc>
          <w:tcPr>
            <w:tcW w:type="dxa" w:w="3168"/>
            <w:shd w:fill="FFFFFF"/>
            <w:tcMar>
              <w:top w:w="70" w:type="dxa"/>
              <w:bottom w:w="70" w:type="dxa"/>
              <w:left w:w="100" w:type="dxa"/>
              <w:right w:w="100" w:type="dxa"/>
            </w:tcMar>
          </w:tcPr>
          <w:p>
            <w:pPr>
              <w:jc w:val="left"/>
            </w:pPr>
            <w:r>
              <w:rPr>
                <w:rFonts w:ascii="Calibri" w:hAnsi="Calibri"/>
                <w:color w:val="1E293B"/>
                <w:sz w:val="18"/>
              </w:rPr>
              <w:t>15_quarantine_staged_restore.png</w:t>
            </w:r>
          </w:p>
        </w:tc>
        <w:tc>
          <w:tcPr>
            <w:tcW w:type="dxa" w:w="2592"/>
            <w:shd w:fill="FFFFFF"/>
            <w:tcMar>
              <w:top w:w="70" w:type="dxa"/>
              <w:bottom w:w="70" w:type="dxa"/>
              <w:left w:w="100" w:type="dxa"/>
              <w:right w:w="100" w:type="dxa"/>
            </w:tcMar>
          </w:tcPr>
          <w:p>
            <w:pPr>
              <w:jc w:val="left"/>
            </w:pPr>
            <w:r>
              <w:rPr>
                <w:rFonts w:ascii="Calibri" w:hAnsi="Calibri"/>
                <w:color w:val="1E293B"/>
                <w:sz w:val="18"/>
              </w:rPr>
              <w:t>Karantin Sahəsində Mərhələli Bərpa</w:t>
            </w:r>
          </w:p>
        </w:tc>
        <w:tc>
          <w:tcPr>
            <w:tcW w:type="dxa" w:w="2448"/>
            <w:shd w:fill="FFFFFF"/>
            <w:tcMar>
              <w:top w:w="70" w:type="dxa"/>
              <w:bottom w:w="70" w:type="dxa"/>
              <w:left w:w="100" w:type="dxa"/>
              <w:right w:w="100" w:type="dxa"/>
            </w:tcMar>
          </w:tcPr>
          <w:p>
            <w:pPr>
              <w:jc w:val="left"/>
            </w:pPr>
            <w:r>
              <w:rPr>
                <w:rFonts w:ascii="Calibri" w:hAnsi="Calibri"/>
                <w:color w:val="1E293B"/>
                <w:sz w:val="18"/>
              </w:rPr>
              <w:t>btnDrillRestore.click()</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16</w:t>
            </w:r>
          </w:p>
        </w:tc>
        <w:tc>
          <w:tcPr>
            <w:tcW w:type="dxa" w:w="3168"/>
            <w:shd w:fill="F8FAFC"/>
            <w:tcMar>
              <w:top w:w="70" w:type="dxa"/>
              <w:bottom w:w="70" w:type="dxa"/>
              <w:left w:w="100" w:type="dxa"/>
              <w:right w:w="100" w:type="dxa"/>
            </w:tcMar>
          </w:tcPr>
          <w:p>
            <w:pPr>
              <w:jc w:val="left"/>
            </w:pPr>
            <w:r>
              <w:rPr>
                <w:rFonts w:ascii="Calibri" w:hAnsi="Calibri"/>
                <w:color w:val="1E293B"/>
                <w:sz w:val="18"/>
              </w:rPr>
              <w:t>16_verified_recovery_100_percent.png</w:t>
            </w:r>
          </w:p>
        </w:tc>
        <w:tc>
          <w:tcPr>
            <w:tcW w:type="dxa" w:w="2592"/>
            <w:shd w:fill="F8FAFC"/>
            <w:tcMar>
              <w:top w:w="70" w:type="dxa"/>
              <w:bottom w:w="70" w:type="dxa"/>
              <w:left w:w="100" w:type="dxa"/>
              <w:right w:w="100" w:type="dxa"/>
            </w:tcMar>
          </w:tcPr>
          <w:p>
            <w:pPr>
              <w:jc w:val="left"/>
            </w:pPr>
            <w:r>
              <w:rPr>
                <w:rFonts w:ascii="Calibri" w:hAnsi="Calibri"/>
                <w:color w:val="1E293B"/>
                <w:sz w:val="18"/>
              </w:rPr>
              <w:t>100% VALID Təsdiqlənmiş Bərpa</w:t>
            </w:r>
          </w:p>
        </w:tc>
        <w:tc>
          <w:tcPr>
            <w:tcW w:type="dxa" w:w="2448"/>
            <w:shd w:fill="F8FAFC"/>
            <w:tcMar>
              <w:top w:w="70" w:type="dxa"/>
              <w:bottom w:w="70" w:type="dxa"/>
              <w:left w:w="100" w:type="dxa"/>
              <w:right w:w="100" w:type="dxa"/>
            </w:tcMar>
          </w:tcPr>
          <w:p>
            <w:pPr>
              <w:jc w:val="left"/>
            </w:pPr>
            <w:r>
              <w:rPr>
                <w:rFonts w:ascii="Calibri" w:hAnsi="Calibri"/>
                <w:color w:val="1E293B"/>
                <w:sz w:val="18"/>
              </w:rPr>
              <w:t>startRestore() [100% VALID]</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17</w:t>
            </w:r>
          </w:p>
        </w:tc>
        <w:tc>
          <w:tcPr>
            <w:tcW w:type="dxa" w:w="3168"/>
            <w:shd w:fill="FFFFFF"/>
            <w:tcMar>
              <w:top w:w="70" w:type="dxa"/>
              <w:bottom w:w="70" w:type="dxa"/>
              <w:left w:w="100" w:type="dxa"/>
              <w:right w:w="100" w:type="dxa"/>
            </w:tcMar>
          </w:tcPr>
          <w:p>
            <w:pPr>
              <w:jc w:val="left"/>
            </w:pPr>
            <w:r>
              <w:rPr>
                <w:rFonts w:ascii="Calibri" w:hAnsi="Calibri"/>
                <w:color w:val="1E293B"/>
                <w:sz w:val="18"/>
              </w:rPr>
              <w:t>17_metrics_harness_execution_table.png</w:t>
            </w:r>
          </w:p>
        </w:tc>
        <w:tc>
          <w:tcPr>
            <w:tcW w:type="dxa" w:w="2592"/>
            <w:shd w:fill="FFFFFF"/>
            <w:tcMar>
              <w:top w:w="70" w:type="dxa"/>
              <w:bottom w:w="70" w:type="dxa"/>
              <w:left w:w="100" w:type="dxa"/>
              <w:right w:w="100" w:type="dxa"/>
            </w:tcMar>
          </w:tcPr>
          <w:p>
            <w:pPr>
              <w:jc w:val="left"/>
            </w:pPr>
            <w:r>
              <w:rPr>
                <w:rFonts w:ascii="Calibri" w:hAnsi="Calibri"/>
                <w:color w:val="1E293B"/>
                <w:sz w:val="18"/>
              </w:rPr>
              <w:t>Formal M1–M9 Metriklər Cədvəli</w:t>
            </w:r>
          </w:p>
        </w:tc>
        <w:tc>
          <w:tcPr>
            <w:tcW w:type="dxa" w:w="2448"/>
            <w:shd w:fill="FFFFFF"/>
            <w:tcMar>
              <w:top w:w="70" w:type="dxa"/>
              <w:bottom w:w="70" w:type="dxa"/>
              <w:left w:w="100" w:type="dxa"/>
              <w:right w:w="100" w:type="dxa"/>
            </w:tcMar>
          </w:tcPr>
          <w:p>
            <w:pPr>
              <w:jc w:val="left"/>
            </w:pPr>
            <w:r>
              <w:rPr>
                <w:rFonts w:ascii="Calibri" w:hAnsi="Calibri"/>
                <w:color w:val="1E293B"/>
                <w:sz w:val="18"/>
              </w:rPr>
              <w:t>run-metrics-harness.js</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18</w:t>
            </w:r>
          </w:p>
        </w:tc>
        <w:tc>
          <w:tcPr>
            <w:tcW w:type="dxa" w:w="3168"/>
            <w:shd w:fill="F8FAFC"/>
            <w:tcMar>
              <w:top w:w="70" w:type="dxa"/>
              <w:bottom w:w="70" w:type="dxa"/>
              <w:left w:w="100" w:type="dxa"/>
              <w:right w:w="100" w:type="dxa"/>
            </w:tcMar>
          </w:tcPr>
          <w:p>
            <w:pPr>
              <w:jc w:val="left"/>
            </w:pPr>
            <w:r>
              <w:rPr>
                <w:rFonts w:ascii="Calibri" w:hAnsi="Calibri"/>
                <w:color w:val="1E293B"/>
                <w:sz w:val="18"/>
              </w:rPr>
              <w:t>18_threshold_sweep_chart.png</w:t>
            </w:r>
          </w:p>
        </w:tc>
        <w:tc>
          <w:tcPr>
            <w:tcW w:type="dxa" w:w="2592"/>
            <w:shd w:fill="F8FAFC"/>
            <w:tcMar>
              <w:top w:w="70" w:type="dxa"/>
              <w:bottom w:w="70" w:type="dxa"/>
              <w:left w:w="100" w:type="dxa"/>
              <w:right w:w="100" w:type="dxa"/>
            </w:tcMar>
          </w:tcPr>
          <w:p>
            <w:pPr>
              <w:jc w:val="left"/>
            </w:pPr>
            <w:r>
              <w:rPr>
                <w:rFonts w:ascii="Calibri" w:hAnsi="Calibri"/>
                <w:color w:val="1E293B"/>
                <w:sz w:val="18"/>
              </w:rPr>
              <w:t>Hədd Süpürməsi (1%–80%) və F1 Əyrisi</w:t>
            </w:r>
          </w:p>
        </w:tc>
        <w:tc>
          <w:tcPr>
            <w:tcW w:type="dxa" w:w="2448"/>
            <w:shd w:fill="F8FAFC"/>
            <w:tcMar>
              <w:top w:w="70" w:type="dxa"/>
              <w:bottom w:w="70" w:type="dxa"/>
              <w:left w:w="100" w:type="dxa"/>
              <w:right w:w="100" w:type="dxa"/>
            </w:tcMar>
          </w:tcPr>
          <w:p>
            <w:pPr>
              <w:jc w:val="left"/>
            </w:pPr>
            <w:r>
              <w:rPr>
                <w:rFonts w:ascii="Calibri" w:hAnsi="Calibri"/>
                <w:color w:val="1E293B"/>
                <w:sz w:val="18"/>
              </w:rPr>
              <w:t>run-threshold-sweep.js</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19</w:t>
            </w:r>
          </w:p>
        </w:tc>
        <w:tc>
          <w:tcPr>
            <w:tcW w:type="dxa" w:w="3168"/>
            <w:shd w:fill="FFFFFF"/>
            <w:tcMar>
              <w:top w:w="70" w:type="dxa"/>
              <w:bottom w:w="70" w:type="dxa"/>
              <w:left w:w="100" w:type="dxa"/>
              <w:right w:w="100" w:type="dxa"/>
            </w:tcMar>
          </w:tcPr>
          <w:p>
            <w:pPr>
              <w:jc w:val="left"/>
            </w:pPr>
            <w:r>
              <w:rPr>
                <w:rFonts w:ascii="Calibri" w:hAnsi="Calibri"/>
                <w:color w:val="1E293B"/>
                <w:sz w:val="18"/>
              </w:rPr>
              <w:t>19_linear_board_overview.png</w:t>
            </w:r>
          </w:p>
        </w:tc>
        <w:tc>
          <w:tcPr>
            <w:tcW w:type="dxa" w:w="2592"/>
            <w:shd w:fill="FFFFFF"/>
            <w:tcMar>
              <w:top w:w="70" w:type="dxa"/>
              <w:bottom w:w="70" w:type="dxa"/>
              <w:left w:w="100" w:type="dxa"/>
              <w:right w:w="100" w:type="dxa"/>
            </w:tcMar>
          </w:tcPr>
          <w:p>
            <w:pPr>
              <w:jc w:val="left"/>
            </w:pPr>
            <w:r>
              <w:rPr>
                <w:rFonts w:ascii="Calibri" w:hAnsi="Calibri"/>
                <w:color w:val="1E293B"/>
                <w:sz w:val="18"/>
              </w:rPr>
              <w:t>Linear Layihə Lövhəsi (12 Həftəlik)</w:t>
            </w:r>
          </w:p>
        </w:tc>
        <w:tc>
          <w:tcPr>
            <w:tcW w:type="dxa" w:w="2448"/>
            <w:shd w:fill="FFFFFF"/>
            <w:tcMar>
              <w:top w:w="70" w:type="dxa"/>
              <w:bottom w:w="70" w:type="dxa"/>
              <w:left w:w="100" w:type="dxa"/>
              <w:right w:w="100" w:type="dxa"/>
            </w:tcMar>
          </w:tcPr>
          <w:p>
            <w:pPr>
              <w:jc w:val="left"/>
            </w:pPr>
            <w:r>
              <w:rPr>
                <w:rFonts w:ascii="Calibri" w:hAnsi="Calibri"/>
                <w:color w:val="1E293B"/>
                <w:sz w:val="18"/>
              </w:rPr>
              <w:t>Linear Project Issues</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20</w:t>
            </w:r>
          </w:p>
        </w:tc>
        <w:tc>
          <w:tcPr>
            <w:tcW w:type="dxa" w:w="3168"/>
            <w:shd w:fill="F8FAFC"/>
            <w:tcMar>
              <w:top w:w="70" w:type="dxa"/>
              <w:bottom w:w="70" w:type="dxa"/>
              <w:left w:w="100" w:type="dxa"/>
              <w:right w:w="100" w:type="dxa"/>
            </w:tcMar>
          </w:tcPr>
          <w:p>
            <w:pPr>
              <w:jc w:val="left"/>
            </w:pPr>
            <w:r>
              <w:rPr>
                <w:rFonts w:ascii="Calibri" w:hAnsi="Calibri"/>
                <w:color w:val="1E293B"/>
                <w:sz w:val="18"/>
              </w:rPr>
              <w:t>20_linear_board_sprints.png</w:t>
            </w:r>
          </w:p>
        </w:tc>
        <w:tc>
          <w:tcPr>
            <w:tcW w:type="dxa" w:w="2592"/>
            <w:shd w:fill="F8FAFC"/>
            <w:tcMar>
              <w:top w:w="70" w:type="dxa"/>
              <w:bottom w:w="70" w:type="dxa"/>
              <w:left w:w="100" w:type="dxa"/>
              <w:right w:w="100" w:type="dxa"/>
            </w:tcMar>
          </w:tcPr>
          <w:p>
            <w:pPr>
              <w:jc w:val="left"/>
            </w:pPr>
            <w:r>
              <w:rPr>
                <w:rFonts w:ascii="Calibri" w:hAnsi="Calibri"/>
                <w:color w:val="1E293B"/>
                <w:sz w:val="18"/>
              </w:rPr>
              <w:t>Linear Sprintlər və Rol Bölgüsü</w:t>
            </w:r>
          </w:p>
        </w:tc>
        <w:tc>
          <w:tcPr>
            <w:tcW w:type="dxa" w:w="2448"/>
            <w:shd w:fill="F8FAFC"/>
            <w:tcMar>
              <w:top w:w="70" w:type="dxa"/>
              <w:bottom w:w="70" w:type="dxa"/>
              <w:left w:w="100" w:type="dxa"/>
              <w:right w:w="100" w:type="dxa"/>
            </w:tcMar>
          </w:tcPr>
          <w:p>
            <w:pPr>
              <w:jc w:val="left"/>
            </w:pPr>
            <w:r>
              <w:rPr>
                <w:rFonts w:ascii="Calibri" w:hAnsi="Calibri"/>
                <w:color w:val="1E293B"/>
                <w:sz w:val="18"/>
              </w:rPr>
              <w:t>Linear Active Sprint View</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21</w:t>
            </w:r>
          </w:p>
        </w:tc>
        <w:tc>
          <w:tcPr>
            <w:tcW w:type="dxa" w:w="3168"/>
            <w:shd w:fill="FFFFFF"/>
            <w:tcMar>
              <w:top w:w="70" w:type="dxa"/>
              <w:bottom w:w="70" w:type="dxa"/>
              <w:left w:w="100" w:type="dxa"/>
              <w:right w:w="100" w:type="dxa"/>
            </w:tcMar>
          </w:tcPr>
          <w:p>
            <w:pPr>
              <w:jc w:val="left"/>
            </w:pPr>
            <w:r>
              <w:rPr>
                <w:rFonts w:ascii="Calibri" w:hAnsi="Calibri"/>
                <w:color w:val="1E293B"/>
                <w:sz w:val="18"/>
              </w:rPr>
              <w:t>21_github_actions_ci_pipeline.png</w:t>
            </w:r>
          </w:p>
        </w:tc>
        <w:tc>
          <w:tcPr>
            <w:tcW w:type="dxa" w:w="2592"/>
            <w:shd w:fill="FFFFFF"/>
            <w:tcMar>
              <w:top w:w="70" w:type="dxa"/>
              <w:bottom w:w="70" w:type="dxa"/>
              <w:left w:w="100" w:type="dxa"/>
              <w:right w:w="100" w:type="dxa"/>
            </w:tcMar>
          </w:tcPr>
          <w:p>
            <w:pPr>
              <w:jc w:val="left"/>
            </w:pPr>
            <w:r>
              <w:rPr>
                <w:rFonts w:ascii="Calibri" w:hAnsi="Calibri"/>
                <w:color w:val="1E293B"/>
                <w:sz w:val="18"/>
              </w:rPr>
              <w:t>GitHub Actions CI/CD Boru Kəməri</w:t>
            </w:r>
          </w:p>
        </w:tc>
        <w:tc>
          <w:tcPr>
            <w:tcW w:type="dxa" w:w="2448"/>
            <w:shd w:fill="FFFFFF"/>
            <w:tcMar>
              <w:top w:w="70" w:type="dxa"/>
              <w:bottom w:w="70" w:type="dxa"/>
              <w:left w:w="100" w:type="dxa"/>
              <w:right w:w="100" w:type="dxa"/>
            </w:tcMar>
          </w:tcPr>
          <w:p>
            <w:pPr>
              <w:jc w:val="left"/>
            </w:pPr>
            <w:r>
              <w:rPr>
                <w:rFonts w:ascii="Calibri" w:hAnsi="Calibri"/>
                <w:color w:val="1E293B"/>
                <w:sz w:val="18"/>
              </w:rPr>
              <w:t>.github/workflows/ci.yml</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22</w:t>
            </w:r>
          </w:p>
        </w:tc>
        <w:tc>
          <w:tcPr>
            <w:tcW w:type="dxa" w:w="3168"/>
            <w:shd w:fill="F8FAFC"/>
            <w:tcMar>
              <w:top w:w="70" w:type="dxa"/>
              <w:bottom w:w="70" w:type="dxa"/>
              <w:left w:w="100" w:type="dxa"/>
              <w:right w:w="100" w:type="dxa"/>
            </w:tcMar>
          </w:tcPr>
          <w:p>
            <w:pPr>
              <w:jc w:val="left"/>
            </w:pPr>
            <w:r>
              <w:rPr>
                <w:rFonts w:ascii="Calibri" w:hAnsi="Calibri"/>
                <w:color w:val="1E293B"/>
                <w:sz w:val="18"/>
              </w:rPr>
              <w:t>22_knowledge_graph_ast_architecture.png</w:t>
            </w:r>
          </w:p>
        </w:tc>
        <w:tc>
          <w:tcPr>
            <w:tcW w:type="dxa" w:w="2592"/>
            <w:shd w:fill="F8FAFC"/>
            <w:tcMar>
              <w:top w:w="70" w:type="dxa"/>
              <w:bottom w:w="70" w:type="dxa"/>
              <w:left w:w="100" w:type="dxa"/>
              <w:right w:w="100" w:type="dxa"/>
            </w:tcMar>
          </w:tcPr>
          <w:p>
            <w:pPr>
              <w:jc w:val="left"/>
            </w:pPr>
            <w:r>
              <w:rPr>
                <w:rFonts w:ascii="Calibri" w:hAnsi="Calibri"/>
                <w:color w:val="1E293B"/>
                <w:sz w:val="18"/>
              </w:rPr>
              <w:t>AST Səviyyəli Layihə Bilik Qrafı</w:t>
            </w:r>
          </w:p>
        </w:tc>
        <w:tc>
          <w:tcPr>
            <w:tcW w:type="dxa" w:w="2448"/>
            <w:shd w:fill="F8FAFC"/>
            <w:tcMar>
              <w:top w:w="70" w:type="dxa"/>
              <w:bottom w:w="70" w:type="dxa"/>
              <w:left w:w="100" w:type="dxa"/>
              <w:right w:w="100" w:type="dxa"/>
            </w:tcMar>
          </w:tcPr>
          <w:p>
            <w:pPr>
              <w:jc w:val="left"/>
            </w:pPr>
            <w:r>
              <w:rPr>
                <w:rFonts w:ascii="Calibri" w:hAnsi="Calibri"/>
                <w:color w:val="1E293B"/>
                <w:sz w:val="18"/>
              </w:rPr>
              <w:t>graphify update .</w:t>
            </w:r>
          </w:p>
        </w:tc>
      </w:tr>
      <w:tr>
        <w:tc>
          <w:tcPr>
            <w:tcW w:type="dxa" w:w="864"/>
            <w:shd w:fill="FFFFFF"/>
            <w:tcMar>
              <w:top w:w="70" w:type="dxa"/>
              <w:bottom w:w="70" w:type="dxa"/>
              <w:left w:w="100" w:type="dxa"/>
              <w:right w:w="100" w:type="dxa"/>
            </w:tcMar>
          </w:tcPr>
          <w:p>
            <w:pPr>
              <w:jc w:val="center"/>
            </w:pPr>
            <w:r>
              <w:rPr>
                <w:rFonts w:ascii="Calibri" w:hAnsi="Calibri"/>
                <w:color w:val="1E293B"/>
                <w:sz w:val="18"/>
              </w:rPr>
              <w:t>23</w:t>
            </w:r>
          </w:p>
        </w:tc>
        <w:tc>
          <w:tcPr>
            <w:tcW w:type="dxa" w:w="3168"/>
            <w:shd w:fill="FFFFFF"/>
            <w:tcMar>
              <w:top w:w="70" w:type="dxa"/>
              <w:bottom w:w="70" w:type="dxa"/>
              <w:left w:w="100" w:type="dxa"/>
              <w:right w:w="100" w:type="dxa"/>
            </w:tcMar>
          </w:tcPr>
          <w:p>
            <w:pPr>
              <w:jc w:val="left"/>
            </w:pPr>
            <w:r>
              <w:rPr>
                <w:rFonts w:ascii="Calibri" w:hAnsi="Calibri"/>
                <w:color w:val="1E293B"/>
                <w:sz w:val="18"/>
              </w:rPr>
              <w:t>23_negative_test_allowlist_bypass.png</w:t>
            </w:r>
          </w:p>
        </w:tc>
        <w:tc>
          <w:tcPr>
            <w:tcW w:type="dxa" w:w="2592"/>
            <w:shd w:fill="FFFFFF"/>
            <w:tcMar>
              <w:top w:w="70" w:type="dxa"/>
              <w:bottom w:w="70" w:type="dxa"/>
              <w:left w:w="100" w:type="dxa"/>
              <w:right w:w="100" w:type="dxa"/>
            </w:tcMar>
          </w:tcPr>
          <w:p>
            <w:pPr>
              <w:jc w:val="left"/>
            </w:pPr>
            <w:r>
              <w:rPr>
                <w:rFonts w:ascii="Calibri" w:hAnsi="Calibri"/>
                <w:color w:val="1E293B"/>
                <w:sz w:val="18"/>
              </w:rPr>
              <w:t>İcazəli Agent Kütləvi Yükləmə Testi</w:t>
            </w:r>
          </w:p>
        </w:tc>
        <w:tc>
          <w:tcPr>
            <w:tcW w:type="dxa" w:w="2448"/>
            <w:shd w:fill="FFFFFF"/>
            <w:tcMar>
              <w:top w:w="70" w:type="dxa"/>
              <w:bottom w:w="70" w:type="dxa"/>
              <w:left w:w="100" w:type="dxa"/>
              <w:right w:w="100" w:type="dxa"/>
            </w:tcMar>
          </w:tcPr>
          <w:p>
            <w:pPr>
              <w:jc w:val="left"/>
            </w:pPr>
            <w:r>
              <w:rPr>
                <w:rFonts w:ascii="Calibri" w:hAnsi="Calibri"/>
                <w:color w:val="1E293B"/>
                <w:sz w:val="18"/>
              </w:rPr>
              <w:t>run-threshold-sweep.js</w:t>
            </w:r>
          </w:p>
        </w:tc>
      </w:tr>
      <w:tr>
        <w:tc>
          <w:tcPr>
            <w:tcW w:type="dxa" w:w="864"/>
            <w:shd w:fill="F8FAFC"/>
            <w:tcMar>
              <w:top w:w="70" w:type="dxa"/>
              <w:bottom w:w="70" w:type="dxa"/>
              <w:left w:w="100" w:type="dxa"/>
              <w:right w:w="100" w:type="dxa"/>
            </w:tcMar>
          </w:tcPr>
          <w:p>
            <w:pPr>
              <w:jc w:val="center"/>
            </w:pPr>
            <w:r>
              <w:rPr>
                <w:rFonts w:ascii="Calibri" w:hAnsi="Calibri"/>
                <w:color w:val="1E293B"/>
                <w:sz w:val="18"/>
              </w:rPr>
              <w:t>24</w:t>
            </w:r>
          </w:p>
        </w:tc>
        <w:tc>
          <w:tcPr>
            <w:tcW w:type="dxa" w:w="3168"/>
            <w:shd w:fill="F8FAFC"/>
            <w:tcMar>
              <w:top w:w="70" w:type="dxa"/>
              <w:bottom w:w="70" w:type="dxa"/>
              <w:left w:w="100" w:type="dxa"/>
              <w:right w:w="100" w:type="dxa"/>
            </w:tcMar>
          </w:tcPr>
          <w:p>
            <w:pPr>
              <w:jc w:val="left"/>
            </w:pPr>
            <w:r>
              <w:rPr>
                <w:rFonts w:ascii="Calibri" w:hAnsi="Calibri"/>
                <w:color w:val="1E293B"/>
                <w:sz w:val="18"/>
              </w:rPr>
              <w:t>24_live_demo_soc_kpi_action_bar.png</w:t>
            </w:r>
          </w:p>
        </w:tc>
        <w:tc>
          <w:tcPr>
            <w:tcW w:type="dxa" w:w="2592"/>
            <w:shd w:fill="F8FAFC"/>
            <w:tcMar>
              <w:top w:w="70" w:type="dxa"/>
              <w:bottom w:w="70" w:type="dxa"/>
              <w:left w:w="100" w:type="dxa"/>
              <w:right w:w="100" w:type="dxa"/>
            </w:tcMar>
          </w:tcPr>
          <w:p>
            <w:pPr>
              <w:jc w:val="left"/>
            </w:pPr>
            <w:r>
              <w:rPr>
                <w:rFonts w:ascii="Calibri" w:hAnsi="Calibri"/>
                <w:color w:val="1E293B"/>
                <w:sz w:val="18"/>
              </w:rPr>
              <w:t>Canlı SOC KPI Paneli və Alətlər</w:t>
            </w:r>
          </w:p>
        </w:tc>
        <w:tc>
          <w:tcPr>
            <w:tcW w:type="dxa" w:w="2448"/>
            <w:shd w:fill="F8FAFC"/>
            <w:tcMar>
              <w:top w:w="70" w:type="dxa"/>
              <w:bottom w:w="70" w:type="dxa"/>
              <w:left w:w="100" w:type="dxa"/>
              <w:right w:w="100" w:type="dxa"/>
            </w:tcMar>
          </w:tcPr>
          <w:p>
            <w:pPr>
              <w:jc w:val="left"/>
            </w:pPr>
            <w:r>
              <w:rPr>
                <w:rFonts w:ascii="Calibri" w:hAnsi="Calibri"/>
                <w:color w:val="1E293B"/>
                <w:sz w:val="18"/>
              </w:rPr>
              <w:t>Vercel Production Demo</w:t>
            </w:r>
          </w:p>
        </w:tc>
      </w:tr>
    </w:tbl>
    <w:p>
      <w:pPr>
        <w:spacing w:after="80"/>
      </w:pPr>
    </w:p>
    <w:p>
      <w:pPr>
        <w:keepNext/>
        <w:spacing w:before="280" w:after="80"/>
      </w:pPr>
      <w:r>
        <w:rPr>
          <w:rFonts w:ascii="Calibri" w:hAnsi="Calibri"/>
          <w:b/>
          <w:color w:val="1E293B"/>
          <w:sz w:val="26"/>
        </w:rPr>
        <w:t>Məlumat Çatışmazlığı (Placeholder) Reyestri</w:t>
      </w:r>
    </w:p>
    <w:p>
      <w:pPr>
        <w:spacing w:line="276" w:lineRule="auto" w:after="100"/>
      </w:pPr>
      <w:r>
        <w:rPr>
          <w:rFonts w:ascii="Calibri" w:hAnsi="Calibri"/>
          <w:color w:val="1E293B"/>
          <w:sz w:val="22"/>
        </w:rPr>
        <w:t>Hesabat hazırlanarkən bütün zəruri məlumatlar layihənin kod bazasından, test nəticələrindən və rəsmi təsdiqlərdən əldə edilmişdir. Elmi rəhbər (Xatirə Həsənli), kafedra (Rəqəmsal Texnologiyalar) və təhsil müəssisəsi (ADNSU) məlumatları titul səhifəsində tam dəqiqliklə əks olunmuşdur. Sənəddə heç bir açıq qalan [ƏLAVƏ EDİLMƏLİDİR] bəndi qalmamışdır.</w:t>
      </w:r>
    </w:p>
    <w:sectPr w:rsidR="00FC693F" w:rsidRPr="0006063C" w:rsidSect="00034616">
      <w:footerReference w:type="default" r:id="rId9"/>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8C8C"/>
        <w:sz w:val="17"/>
      </w:rPr>
      <w:t>CloudRDR — Yekun Hesabat | ADNSU Rəqəmsal Texnologiyalar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