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0E4F"/>
          <w:sz w:val="36"/>
          <w:szCs w:val="36"/>
        </w:rPr>
        <w:t xml:space="preserve">DIPLÔME NATIONAL DU BREVET — VOLLEY-BALL</w:t>
      </w:r>
    </w:p>
    <w:p>
      <w:pPr>
        <w:spacing w:after="40" w:before="0"/>
        <w:jc w:val="center"/>
      </w:pPr>
      <w:r>
        <w:rPr>
          <w:rFonts w:ascii="Arial" w:cs="Arial" w:eastAsia="Arial" w:hAnsi="Arial"/>
          <w:b w:val="false"/>
          <w:bCs w:val="false"/>
          <w:color w:val="37474F"/>
          <w:sz w:val="22"/>
          <w:szCs w:val="22"/>
        </w:rPr>
        <w:t xml:space="preserve">Analyse du référentiel officiel · Niveau Collège · APS Renvoi</w:t>
      </w:r>
    </w:p>
    <w:p>
      <w:pPr>
        <w:spacing w:after="200" w:before="0"/>
        <w:jc w:val="center"/>
      </w:pPr>
      <w:r>
        <w:rPr>
          <w:rFonts w:ascii="Arial" w:cs="Arial" w:eastAsia="Arial" w:hAnsi="Arial"/>
          <w:color w:val="888888"/>
          <w:sz w:val="18"/>
          <w:szCs w:val="18"/>
        </w:rPr>
        <w:t xml:space="preserve">Fichier : Analyse_Ref_Volleybal_EquipeCOLL3_ADP2026</w:t>
      </w:r>
    </w:p>
    <w:p>
      <w:pPr>
        <w:pStyle w:val="Heading1"/>
        <w:spacing w:after="120" w:before="160"/>
      </w:pPr>
      <w:r>
        <w:rPr>
          <w:rFonts w:ascii="Arial" w:cs="Arial" w:eastAsia="Arial" w:hAnsi="Arial"/>
          <w:b/>
          <w:bCs/>
          <w:color w:val="880E4F"/>
          <w:sz w:val="26"/>
          <w:szCs w:val="26"/>
        </w:rPr>
        <w:t xml:space="preserve">1. TABLEAU D'ANALYSE — CRITÈRES, INDICATEURS ET DEGRÉS DE MAÎTRISE</w:t>
      </w:r>
    </w:p>
    <w:p>
      <w:pPr>
        <w:spacing w:after="120" w:before="0"/>
      </w:pPr>
      <w:r>
        <w:rPr>
          <w:rFonts w:ascii="Arial" w:cs="Arial" w:eastAsia="Arial" w:hAnsi="Arial"/>
          <w:color w:val="555555"/>
          <w:sz w:val="17"/>
          <w:szCs w:val="17"/>
        </w:rPr>
        <w:t xml:space="preserve">Lecture : Degré A = insuffisant (faibles scores) · Degré B = en construction · Degré C = maîtrisé (scores élevés). Chaque cellule reprend les termes EXACTS du référentiel en gras.</w:t>
      </w:r>
    </w:p>
    <w:tbl>
      <w:tblPr>
        <w:tblW w:type="dxa" w:w="14534"/>
        <w:tblBorders>
          <w:top w:val="single" w:color="auto" w:sz="4"/>
          <w:left w:val="single" w:color="auto" w:sz="4"/>
          <w:bottom w:val="single" w:color="auto" w:sz="4"/>
          <w:right w:val="single" w:color="auto" w:sz="4"/>
          <w:insideH w:val="single" w:color="auto" w:sz="4"/>
          <w:insideV w:val="single" w:color="auto" w:sz="4"/>
        </w:tblBorders>
      </w:tblPr>
      <w:tblGrid>
        <w:gridCol w:w="2200"/>
        <w:gridCol w:w="2334"/>
        <w:gridCol w:w="3333"/>
        <w:gridCol w:w="3333"/>
        <w:gridCol w:w="3334"/>
      </w:tblGrid>
      <w:tr>
        <w:trPr>
          <w:tblHeader/>
        </w:trPr>
        <w:tc>
          <w:tcPr>
            <w:tcW w:type="dxa" w:w="2200"/>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9"/>
                <w:szCs w:val="19"/>
              </w:rPr>
              <w:t xml:space="preserve">CRITÈRE</w:t>
            </w:r>
          </w:p>
          <w:p>
            <w:pPr>
              <w:spacing w:after="40" w:before="40"/>
              <w:jc w:val="center"/>
            </w:pPr>
            <w:r>
              <w:rPr>
                <w:rFonts w:ascii="Arial" w:cs="Arial" w:eastAsia="Arial" w:hAnsi="Arial"/>
                <w:b w:val="false"/>
                <w:bCs w:val="false"/>
                <w:i w:val="false"/>
                <w:iCs w:val="false"/>
                <w:color w:val="FFD6E7"/>
                <w:sz w:val="16"/>
                <w:szCs w:val="16"/>
              </w:rPr>
              <w:t xml:space="preserve">Intitulé exact + Points</w:t>
            </w:r>
          </w:p>
        </w:tc>
        <w:tc>
          <w:tcPr>
            <w:tcW w:type="dxa" w:w="2334"/>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9"/>
                <w:szCs w:val="19"/>
              </w:rPr>
              <w:t xml:space="preserve">INDICATEURS</w:t>
            </w:r>
          </w:p>
          <w:p>
            <w:pPr>
              <w:spacing w:after="40" w:before="40"/>
              <w:jc w:val="center"/>
            </w:pPr>
            <w:r>
              <w:rPr>
                <w:rFonts w:ascii="Arial" w:cs="Arial" w:eastAsia="Arial" w:hAnsi="Arial"/>
                <w:b w:val="false"/>
                <w:bCs w:val="false"/>
                <w:i w:val="false"/>
                <w:iCs w:val="false"/>
                <w:color w:val="FFD6E7"/>
                <w:sz w:val="16"/>
                <w:szCs w:val="16"/>
              </w:rPr>
              <w:t xml:space="preserve">Observables sur le terrain</w:t>
            </w:r>
          </w:p>
        </w:tc>
        <w:tc>
          <w:tcPr>
            <w:tcW w:type="dxa" w:w="3333"/>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9"/>
                <w:szCs w:val="19"/>
              </w:rPr>
              <w:t xml:space="preserve">DEGRÉ A — Insuffisant</w:t>
            </w:r>
          </w:p>
          <w:p>
            <w:pPr>
              <w:spacing w:after="40" w:before="40"/>
              <w:jc w:val="center"/>
            </w:pPr>
            <w:r>
              <w:rPr>
                <w:rFonts w:ascii="Arial" w:cs="Arial" w:eastAsia="Arial" w:hAnsi="Arial"/>
                <w:b w:val="false"/>
                <w:bCs w:val="false"/>
                <w:i w:val="false"/>
                <w:iCs w:val="false"/>
                <w:color w:val="FFCCBC"/>
                <w:sz w:val="16"/>
                <w:szCs w:val="16"/>
              </w:rPr>
              <w:t xml:space="preserve">(0 → seuil bas)</w:t>
            </w:r>
          </w:p>
        </w:tc>
        <w:tc>
          <w:tcPr>
            <w:tcW w:type="dxa" w:w="3333"/>
            <w:tcBorders>
              <w:top w:val="single" w:color="CCCCCC" w:sz="4"/>
              <w:left w:val="single" w:color="CCCCCC" w:sz="4"/>
              <w:bottom w:val="single" w:color="CCCCCC" w:sz="4"/>
              <w:right w:val="single" w:color="CCCCCC" w:sz="4"/>
            </w:tcBorders>
            <w:shd w:fill="F9A825"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9"/>
                <w:szCs w:val="19"/>
              </w:rPr>
              <w:t xml:space="preserve">DEGRÉ B — En construction</w:t>
            </w:r>
          </w:p>
          <w:p>
            <w:pPr>
              <w:spacing w:after="40" w:before="40"/>
              <w:jc w:val="center"/>
            </w:pPr>
            <w:r>
              <w:rPr>
                <w:rFonts w:ascii="Arial" w:cs="Arial" w:eastAsia="Arial" w:hAnsi="Arial"/>
                <w:b w:val="false"/>
                <w:bCs w:val="false"/>
                <w:i w:val="false"/>
                <w:iCs w:val="false"/>
                <w:color w:val="FFF9C4"/>
                <w:sz w:val="16"/>
                <w:szCs w:val="16"/>
              </w:rPr>
              <w:t xml:space="preserve">(seuil intermédiaire)</w:t>
            </w:r>
          </w:p>
        </w:tc>
        <w:tc>
          <w:tcPr>
            <w:tcW w:type="dxa" w:w="3334"/>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9"/>
                <w:szCs w:val="19"/>
              </w:rPr>
              <w:t xml:space="preserve">DEGRÉ C — Maîtrisé</w:t>
            </w:r>
          </w:p>
          <w:p>
            <w:pPr>
              <w:spacing w:after="40" w:before="40"/>
              <w:jc w:val="center"/>
            </w:pPr>
            <w:r>
              <w:rPr>
                <w:rFonts w:ascii="Arial" w:cs="Arial" w:eastAsia="Arial" w:hAnsi="Arial"/>
                <w:b w:val="false"/>
                <w:bCs w:val="false"/>
                <w:i w:val="false"/>
                <w:iCs w:val="false"/>
                <w:color w:val="C8E6C9"/>
                <w:sz w:val="16"/>
                <w:szCs w:val="16"/>
              </w:rPr>
              <w:t xml:space="preserve">(haut niveau de maîtrise)</w:t>
            </w:r>
          </w:p>
        </w:tc>
      </w:tr>
      <w:tr>
        <w:tc>
          <w:tcPr>
            <w:tcW w:type="dxa" w:w="2200"/>
            <w:tcBorders>
              <w:top w:val="single" w:color="CCCCCC" w:sz="4"/>
              <w:left w:val="single" w:color="CCCCCC" w:sz="4"/>
              <w:bottom w:val="single" w:color="CCCCCC" w:sz="4"/>
              <w:right w:val="single" w:color="CCCCCC" w:sz="4"/>
            </w:tcBorders>
            <w:shd w:fill="C2185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8"/>
                <w:szCs w:val="18"/>
              </w:rPr>
              <w:t xml:space="preserve">CRITÈRE 1</w:t>
            </w:r>
          </w:p>
          <w:p>
            <w:pPr>
              <w:spacing w:after="40" w:before="40"/>
              <w:jc w:val="left"/>
            </w:pPr>
            <w:r>
              <w:rPr>
                <w:rFonts w:ascii="Arial" w:cs="Arial" w:eastAsia="Arial" w:hAnsi="Arial"/>
                <w:b/>
                <w:bCs/>
                <w:i w:val="false"/>
                <w:iCs w:val="false"/>
                <w:color w:val="FFFFFF"/>
                <w:sz w:val="17"/>
                <w:szCs w:val="17"/>
              </w:rPr>
              <w:t xml:space="preserve">Efficacité collective dans le gain du match</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bCs/>
                <w:i w:val="false"/>
                <w:iCs w:val="false"/>
                <w:color w:val="FFD6E7"/>
                <w:sz w:val="18"/>
                <w:szCs w:val="18"/>
              </w:rPr>
              <w:t xml:space="preserve">8 pts TOTAL</w:t>
            </w:r>
          </w:p>
          <w:p>
            <w:pPr>
              <w:spacing w:after="40" w:before="40"/>
              <w:jc w:val="left"/>
            </w:pPr>
            <w:r>
              <w:rPr>
                <w:rFonts w:ascii="Arial" w:cs="Arial" w:eastAsia="Arial" w:hAnsi="Arial"/>
                <w:b w:val="false"/>
                <w:bCs w:val="false"/>
                <w:i w:val="false"/>
                <w:iCs w:val="false"/>
                <w:color w:val="FFFFFF"/>
                <w:sz w:val="16"/>
                <w:szCs w:val="16"/>
              </w:rPr>
              <w:t xml:space="preserve">dont :</w:t>
            </w:r>
          </w:p>
          <w:p>
            <w:pPr>
              <w:spacing w:after="40" w:before="40"/>
              <w:jc w:val="left"/>
            </w:pPr>
            <w:r>
              <w:rPr>
                <w:rFonts w:ascii="Arial" w:cs="Arial" w:eastAsia="Arial" w:hAnsi="Arial"/>
                <w:b w:val="false"/>
                <w:bCs w:val="false"/>
                <w:i w:val="false"/>
                <w:iCs w:val="false"/>
                <w:color w:val="FFFFFF"/>
                <w:sz w:val="16"/>
                <w:szCs w:val="16"/>
              </w:rPr>
              <w:t xml:space="preserve">• 6 pts — Jeu collectif</w:t>
            </w:r>
          </w:p>
          <w:p>
            <w:pPr>
              <w:spacing w:after="40" w:before="40"/>
              <w:jc w:val="left"/>
            </w:pPr>
            <w:r>
              <w:rPr>
                <w:rFonts w:ascii="Arial" w:cs="Arial" w:eastAsia="Arial" w:hAnsi="Arial"/>
                <w:b w:val="false"/>
                <w:bCs w:val="false"/>
                <w:i w:val="false"/>
                <w:iCs w:val="false"/>
                <w:color w:val="FFFFFF"/>
                <w:sz w:val="16"/>
                <w:szCs w:val="16"/>
              </w:rPr>
              <w:t xml:space="preserve">• 2 pts — Gains des matchs</w:t>
            </w:r>
          </w:p>
        </w:tc>
        <w:tc>
          <w:tcPr>
            <w:tcW w:type="dxa" w:w="2334"/>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Observation globale :</w:t>
            </w:r>
          </w:p>
          <w:p>
            <w:pPr>
              <w:spacing w:after="40" w:before="40"/>
              <w:jc w:val="left"/>
            </w:pPr>
            <w:r>
              <w:rPr>
                <w:rFonts w:ascii="Arial" w:cs="Arial" w:eastAsia="Arial" w:hAnsi="Arial"/>
                <w:b w:val="false"/>
                <w:bCs w:val="false"/>
                <w:i w:val="false"/>
                <w:iCs w:val="false"/>
                <w:color w:val="000000"/>
                <w:sz w:val="18"/>
                <w:szCs w:val="18"/>
              </w:rPr>
              <w:t xml:space="preserve">• Équilibre des rapports de force</w:t>
            </w:r>
          </w:p>
          <w:p>
            <w:pPr>
              <w:spacing w:after="40" w:before="40"/>
              <w:jc w:val="left"/>
            </w:pPr>
            <w:r>
              <w:rPr>
                <w:rFonts w:ascii="Arial" w:cs="Arial" w:eastAsia="Arial" w:hAnsi="Arial"/>
                <w:b w:val="false"/>
                <w:bCs w:val="false"/>
                <w:i w:val="false"/>
                <w:iCs w:val="false"/>
                <w:color w:val="000000"/>
                <w:sz w:val="18"/>
                <w:szCs w:val="18"/>
              </w:rPr>
              <w:t xml:space="preserve">• Nature des actions offensives</w:t>
            </w:r>
          </w:p>
          <w:p>
            <w:pPr>
              <w:spacing w:after="40" w:before="40"/>
              <w:jc w:val="left"/>
            </w:pPr>
            <w:r>
              <w:rPr>
                <w:rFonts w:ascii="Arial" w:cs="Arial" w:eastAsia="Arial" w:hAnsi="Arial"/>
                <w:b w:val="false"/>
                <w:bCs w:val="false"/>
                <w:i w:val="false"/>
                <w:iCs w:val="false"/>
                <w:color w:val="000000"/>
                <w:sz w:val="18"/>
                <w:szCs w:val="18"/>
              </w:rPr>
              <w:t xml:space="preserve">• Progression de balle vers zone adverse</w:t>
            </w:r>
          </w:p>
          <w:p>
            <w:pPr>
              <w:spacing w:after="40" w:before="40"/>
              <w:jc w:val="left"/>
            </w:pPr>
            <w:r>
              <w:rPr>
                <w:rFonts w:ascii="Arial" w:cs="Arial" w:eastAsia="Arial" w:hAnsi="Arial"/>
                <w:b w:val="false"/>
                <w:bCs w:val="false"/>
                <w:i w:val="false"/>
                <w:iCs w:val="false"/>
                <w:color w:val="000000"/>
                <w:sz w:val="18"/>
                <w:szCs w:val="18"/>
              </w:rPr>
              <w:t xml:space="preserve">• Intentionnalité des attaques</w:t>
            </w:r>
          </w:p>
          <w:p>
            <w:pPr>
              <w:spacing w:after="40" w:before="40"/>
              <w:jc w:val="left"/>
            </w:pPr>
            <w:r>
              <w:rPr>
                <w:rFonts w:ascii="Arial" w:cs="Arial" w:eastAsia="Arial" w:hAnsi="Arial"/>
                <w:b w:val="false"/>
                <w:bCs w:val="false"/>
                <w:i w:val="false"/>
                <w:iCs w:val="false"/>
                <w:color w:val="000000"/>
                <w:sz w:val="18"/>
                <w:szCs w:val="18"/>
              </w:rPr>
              <w:t xml:space="preserve">• Continuité / rupture dans les échanges</w:t>
            </w:r>
          </w:p>
        </w:tc>
        <w:tc>
          <w:tcPr>
            <w:tcW w:type="dxa" w:w="3333"/>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E65100"/>
                <w:sz w:val="19"/>
                <w:szCs w:val="19"/>
              </w:rPr>
              <w:t xml:space="preserve">« Jeu en réaction »</w:t>
            </w:r>
          </w:p>
          <w:p>
            <w:pPr>
              <w:spacing w:after="40" w:before="40"/>
              <w:jc w:val="left"/>
            </w:pPr>
            <w:r>
              <w:rPr>
                <w:rFonts w:ascii="Arial" w:cs="Arial" w:eastAsia="Arial" w:hAnsi="Arial"/>
                <w:b/>
                <w:bCs/>
                <w:i w:val="false"/>
                <w:iCs w:val="false"/>
                <w:color w:val="E65100"/>
                <w:sz w:val="18"/>
                <w:szCs w:val="18"/>
              </w:rPr>
              <w:t xml:space="preserve">Score : 0 – 2,5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Les élèves renvoient la balle de manière individuelle, sans coordination collective.</w:t>
            </w:r>
          </w:p>
          <w:p>
            <w:pPr>
              <w:spacing w:after="40" w:before="40"/>
              <w:jc w:val="left"/>
            </w:pPr>
            <w:r>
              <w:rPr>
                <w:rFonts w:ascii="Arial" w:cs="Arial" w:eastAsia="Arial" w:hAnsi="Arial"/>
                <w:b w:val="false"/>
                <w:bCs w:val="false"/>
                <w:i w:val="false"/>
                <w:iCs w:val="false"/>
                <w:color w:val="000000"/>
                <w:sz w:val="17"/>
                <w:szCs w:val="17"/>
              </w:rPr>
              <w:t xml:space="preserve">Les actions sont principalement défensives ou de survie.</w:t>
            </w:r>
          </w:p>
          <w:p>
            <w:pPr>
              <w:spacing w:after="40" w:before="40"/>
              <w:jc w:val="left"/>
            </w:pPr>
            <w:r>
              <w:rPr>
                <w:rFonts w:ascii="Arial" w:cs="Arial" w:eastAsia="Arial" w:hAnsi="Arial"/>
                <w:b w:val="false"/>
                <w:bCs w:val="false"/>
                <w:i w:val="false"/>
                <w:iCs w:val="false"/>
                <w:color w:val="000000"/>
                <w:sz w:val="17"/>
                <w:szCs w:val="17"/>
              </w:rPr>
              <w:t xml:space="preserve">Pas de projet de jeu lisible, peu de communication entre coéquipiers.</w:t>
            </w:r>
          </w:p>
          <w:p>
            <w:pPr>
              <w:spacing w:after="40" w:before="40"/>
              <w:jc w:val="left"/>
            </w:pPr>
            <w:r>
              <w:rPr>
                <w:rFonts w:ascii="Arial" w:cs="Arial" w:eastAsia="Arial" w:hAnsi="Arial"/>
                <w:b w:val="false"/>
                <w:bCs w:val="false"/>
                <w:i/>
                <w:iCs/>
                <w:color w:val="E65100"/>
                <w:sz w:val="16"/>
                <w:szCs w:val="16"/>
              </w:rPr>
              <w:t xml:space="preserve">⚠ Mention règles aménagées : service lancé à 2 mains depuis zone arrière autorisé ; double touche tolérée.</w:t>
            </w:r>
          </w:p>
        </w:tc>
        <w:tc>
          <w:tcPr>
            <w:tcW w:type="dxa" w:w="3333"/>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E65100"/>
                <w:sz w:val="19"/>
                <w:szCs w:val="19"/>
              </w:rPr>
              <w:t xml:space="preserve">« Construction collective de l'attaque »</w:t>
            </w:r>
          </w:p>
          <w:p>
            <w:pPr>
              <w:spacing w:after="40" w:before="40"/>
              <w:jc w:val="left"/>
            </w:pPr>
            <w:r>
              <w:rPr>
                <w:rFonts w:ascii="Arial" w:cs="Arial" w:eastAsia="Arial" w:hAnsi="Arial"/>
                <w:b/>
                <w:bCs/>
                <w:i w:val="false"/>
                <w:iCs w:val="false"/>
                <w:color w:val="B45309"/>
                <w:sz w:val="18"/>
                <w:szCs w:val="18"/>
              </w:rPr>
              <w:t xml:space="preserve">Score : 3 – 4,5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L'équipe commence à organiser ses actions. La balle progresse vers une zone de renvoi favorable.</w:t>
            </w:r>
          </w:p>
          <w:p>
            <w:pPr>
              <w:spacing w:after="40" w:before="40"/>
              <w:jc w:val="left"/>
            </w:pPr>
            <w:r>
              <w:rPr>
                <w:rFonts w:ascii="Arial" w:cs="Arial" w:eastAsia="Arial" w:hAnsi="Arial"/>
                <w:b w:val="false"/>
                <w:bCs w:val="false"/>
                <w:i w:val="false"/>
                <w:iCs w:val="false"/>
                <w:color w:val="000000"/>
                <w:sz w:val="17"/>
                <w:szCs w:val="17"/>
              </w:rPr>
              <w:t xml:space="preserve">Les attaques restent encore irrégulières mais un projet collectif émerge.</w:t>
            </w:r>
          </w:p>
          <w:p>
            <w:pPr>
              <w:spacing w:after="40" w:before="40"/>
              <w:jc w:val="left"/>
            </w:pPr>
            <w:r>
              <w:rPr>
                <w:rFonts w:ascii="Arial" w:cs="Arial" w:eastAsia="Arial" w:hAnsi="Arial"/>
                <w:b w:val="false"/>
                <w:bCs w:val="false"/>
                <w:i w:val="false"/>
                <w:iCs w:val="false"/>
                <w:color w:val="000000"/>
                <w:sz w:val="17"/>
                <w:szCs w:val="17"/>
              </w:rPr>
              <w:t xml:space="preserve">Des temps de concertation sont visibles lors des temps morts.</w:t>
            </w:r>
          </w:p>
        </w:tc>
        <w:tc>
          <w:tcPr>
            <w:tcW w:type="dxa" w:w="3334"/>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1B5E20"/>
                <w:sz w:val="19"/>
                <w:szCs w:val="19"/>
              </w:rPr>
              <w:t xml:space="preserve">« Intention collective de rupture »</w:t>
            </w:r>
          </w:p>
          <w:p>
            <w:pPr>
              <w:spacing w:after="40" w:before="40"/>
              <w:jc w:val="left"/>
            </w:pPr>
            <w:r>
              <w:rPr>
                <w:rFonts w:ascii="Arial" w:cs="Arial" w:eastAsia="Arial" w:hAnsi="Arial"/>
                <w:b/>
                <w:bCs/>
                <w:i w:val="false"/>
                <w:iCs w:val="false"/>
                <w:color w:val="1B5E20"/>
                <w:sz w:val="18"/>
                <w:szCs w:val="18"/>
              </w:rPr>
              <w:t xml:space="preserve">Score : 5 – 6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L'équipe construit délibérément des situations de rupture. L'attaque vise intentionnellement la cible adverse.</w:t>
            </w:r>
          </w:p>
          <w:p>
            <w:pPr>
              <w:spacing w:after="40" w:before="40"/>
              <w:jc w:val="left"/>
            </w:pPr>
            <w:r>
              <w:rPr>
                <w:rFonts w:ascii="Arial" w:cs="Arial" w:eastAsia="Arial" w:hAnsi="Arial"/>
                <w:b w:val="false"/>
                <w:bCs w:val="false"/>
                <w:i w:val="false"/>
                <w:iCs w:val="false"/>
                <w:color w:val="000000"/>
                <w:sz w:val="17"/>
                <w:szCs w:val="17"/>
              </w:rPr>
              <w:t xml:space="preserve">Les ballons placés ou accélérés sont systématiquement observés.</w:t>
            </w:r>
          </w:p>
          <w:p>
            <w:pPr>
              <w:spacing w:after="40" w:before="40"/>
              <w:jc w:val="left"/>
            </w:pPr>
            <w:r>
              <w:rPr>
                <w:rFonts w:ascii="Arial" w:cs="Arial" w:eastAsia="Arial" w:hAnsi="Arial"/>
                <w:b w:val="false"/>
                <w:bCs w:val="false"/>
                <w:i w:val="false"/>
                <w:iCs w:val="false"/>
                <w:color w:val="000000"/>
                <w:sz w:val="17"/>
                <w:szCs w:val="17"/>
              </w:rPr>
              <w:t xml:space="preserve">La stratégie collective est clairement lisible.</w:t>
            </w:r>
          </w:p>
        </w:tc>
      </w:tr>
      <w:tr>
        <w:tc>
          <w:tcPr>
            <w:tcW w:type="dxa" w:w="2200"/>
            <w:tcBorders>
              <w:top w:val="single" w:color="CCCCCC" w:sz="4"/>
              <w:left w:val="single" w:color="CCCCCC" w:sz="4"/>
              <w:bottom w:val="single" w:color="CCCCCC" w:sz="4"/>
              <w:right w:val="single" w:color="CCCCCC" w:sz="4"/>
            </w:tcBorders>
            <w:shd w:fill="C2185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8"/>
                <w:szCs w:val="18"/>
              </w:rPr>
              <w:t xml:space="preserve">CRITÈRE 2</w:t>
            </w:r>
          </w:p>
          <w:p>
            <w:pPr>
              <w:spacing w:after="40" w:before="40"/>
              <w:jc w:val="left"/>
            </w:pPr>
            <w:r>
              <w:rPr>
                <w:rFonts w:ascii="Arial" w:cs="Arial" w:eastAsia="Arial" w:hAnsi="Arial"/>
                <w:b/>
                <w:bCs/>
                <w:i w:val="false"/>
                <w:iCs w:val="false"/>
                <w:color w:val="FFFFFF"/>
                <w:sz w:val="17"/>
                <w:szCs w:val="17"/>
              </w:rPr>
              <w:t xml:space="preserve">Efficacité individuelle dans l'organisation collective</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bCs/>
                <w:i w:val="false"/>
                <w:iCs w:val="false"/>
                <w:color w:val="FFD6E7"/>
                <w:sz w:val="18"/>
                <w:szCs w:val="18"/>
              </w:rPr>
              <w:t xml:space="preserve">8 pts TOTAL</w:t>
            </w:r>
          </w:p>
          <w:p>
            <w:pPr>
              <w:spacing w:after="40" w:before="40"/>
              <w:jc w:val="left"/>
            </w:pPr>
            <w:r>
              <w:rPr>
                <w:rFonts w:ascii="Arial" w:cs="Arial" w:eastAsia="Arial" w:hAnsi="Arial"/>
                <w:b w:val="false"/>
                <w:bCs w:val="false"/>
                <w:i w:val="false"/>
                <w:iCs w:val="false"/>
                <w:color w:val="FFFFFF"/>
                <w:sz w:val="16"/>
                <w:szCs w:val="16"/>
              </w:rPr>
              <w:t xml:space="preserve">(score 0 → 8 pts)</w:t>
            </w:r>
          </w:p>
        </w:tc>
        <w:tc>
          <w:tcPr>
            <w:tcW w:type="dxa" w:w="2334"/>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Observation individuelle :</w:t>
            </w:r>
          </w:p>
          <w:p>
            <w:pPr>
              <w:spacing w:after="40" w:before="40"/>
              <w:jc w:val="left"/>
            </w:pPr>
            <w:r>
              <w:rPr>
                <w:rFonts w:ascii="Arial" w:cs="Arial" w:eastAsia="Arial" w:hAnsi="Arial"/>
                <w:b w:val="false"/>
                <w:bCs w:val="false"/>
                <w:i w:val="false"/>
                <w:iCs w:val="false"/>
                <w:color w:val="000000"/>
                <w:sz w:val="18"/>
                <w:szCs w:val="18"/>
              </w:rPr>
              <w:t xml:space="preserve">• Qualité des choix tactiques</w:t>
            </w:r>
          </w:p>
          <w:p>
            <w:pPr>
              <w:spacing w:after="40" w:before="40"/>
              <w:jc w:val="left"/>
            </w:pPr>
            <w:r>
              <w:rPr>
                <w:rFonts w:ascii="Arial" w:cs="Arial" w:eastAsia="Arial" w:hAnsi="Arial"/>
                <w:b w:val="false"/>
                <w:bCs w:val="false"/>
                <w:i w:val="false"/>
                <w:iCs w:val="false"/>
                <w:color w:val="000000"/>
                <w:sz w:val="18"/>
                <w:szCs w:val="18"/>
              </w:rPr>
              <w:t xml:space="preserve">• Conservation / transmission de balle</w:t>
            </w:r>
          </w:p>
          <w:p>
            <w:pPr>
              <w:spacing w:after="40" w:before="40"/>
              <w:jc w:val="left"/>
            </w:pPr>
            <w:r>
              <w:rPr>
                <w:rFonts w:ascii="Arial" w:cs="Arial" w:eastAsia="Arial" w:hAnsi="Arial"/>
                <w:b w:val="false"/>
                <w:bCs w:val="false"/>
                <w:i w:val="false"/>
                <w:iCs w:val="false"/>
                <w:color w:val="000000"/>
                <w:sz w:val="18"/>
                <w:szCs w:val="18"/>
              </w:rPr>
              <w:t xml:space="preserve">• Efficacité en situation favorable</w:t>
            </w:r>
          </w:p>
          <w:p>
            <w:pPr>
              <w:spacing w:after="40" w:before="40"/>
              <w:jc w:val="left"/>
            </w:pPr>
            <w:r>
              <w:rPr>
                <w:rFonts w:ascii="Arial" w:cs="Arial" w:eastAsia="Arial" w:hAnsi="Arial"/>
                <w:b w:val="false"/>
                <w:bCs w:val="false"/>
                <w:i w:val="false"/>
                <w:iCs w:val="false"/>
                <w:color w:val="000000"/>
                <w:sz w:val="18"/>
                <w:szCs w:val="18"/>
              </w:rPr>
              <w:t xml:space="preserve">• Vitesse et placement des renvois</w:t>
            </w:r>
          </w:p>
          <w:p>
            <w:pPr>
              <w:spacing w:after="40" w:before="40"/>
              <w:jc w:val="left"/>
            </w:pPr>
            <w:r>
              <w:rPr>
                <w:rFonts w:ascii="Arial" w:cs="Arial" w:eastAsia="Arial" w:hAnsi="Arial"/>
                <w:b w:val="false"/>
                <w:bCs w:val="false"/>
                <w:i w:val="false"/>
                <w:iCs w:val="false"/>
                <w:color w:val="000000"/>
                <w:sz w:val="18"/>
                <w:szCs w:val="18"/>
              </w:rPr>
              <w:t xml:space="preserve">• Contribution au collectif</w:t>
            </w:r>
          </w:p>
          <w:p>
            <w:pPr>
              <w:spacing w:after="40" w:before="40"/>
              <w:jc w:val="left"/>
            </w:pPr>
            <w:r>
              <w:rPr>
                <w:rFonts w:ascii="Arial" w:cs="Arial" w:eastAsia="Arial" w:hAnsi="Arial"/>
                <w:b w:val="false"/>
                <w:bCs w:val="false"/>
                <w:i w:val="false"/>
                <w:iCs w:val="false"/>
                <w:color w:val="000000"/>
                <w:sz w:val="18"/>
                <w:szCs w:val="18"/>
              </w:rPr>
              <w:t xml:space="preserve">• Capacité à offrir une solution de passe</w:t>
            </w:r>
          </w:p>
        </w:tc>
        <w:tc>
          <w:tcPr>
            <w:tcW w:type="dxa" w:w="3333"/>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E65100"/>
                <w:sz w:val="18"/>
                <w:szCs w:val="18"/>
              </w:rPr>
              <w:t xml:space="preserve">« Joueur intermittent ou devant bénéficier de règles aménagées »</w:t>
            </w:r>
          </w:p>
          <w:p>
            <w:pPr>
              <w:spacing w:after="40" w:before="40"/>
              <w:jc w:val="left"/>
            </w:pPr>
            <w:r>
              <w:rPr>
                <w:rFonts w:ascii="Arial" w:cs="Arial" w:eastAsia="Arial" w:hAnsi="Arial"/>
                <w:b/>
                <w:bCs/>
                <w:i w:val="false"/>
                <w:iCs w:val="false"/>
                <w:color w:val="E65100"/>
                <w:sz w:val="18"/>
                <w:szCs w:val="18"/>
              </w:rPr>
              <w:t xml:space="preserve">Score : 0 – 3,5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Ne fait pas toujours les bons choix, ce qui limite son efficacité dans le jeu collectif.</w:t>
            </w:r>
          </w:p>
          <w:p>
            <w:pPr>
              <w:spacing w:after="40" w:before="40"/>
              <w:jc w:val="left"/>
            </w:pPr>
            <w:r>
              <w:rPr>
                <w:rFonts w:ascii="Arial" w:cs="Arial" w:eastAsia="Arial" w:hAnsi="Arial"/>
                <w:b w:val="false"/>
                <w:bCs w:val="false"/>
                <w:i w:val="false"/>
                <w:iCs w:val="false"/>
                <w:color w:val="000000"/>
                <w:sz w:val="17"/>
                <w:szCs w:val="17"/>
              </w:rPr>
              <w:t xml:space="preserve">Participation irrégulière. Erreurs fréquentes dans les décisions.</w:t>
            </w:r>
          </w:p>
          <w:p>
            <w:pPr>
              <w:spacing w:after="40" w:before="40"/>
              <w:jc w:val="left"/>
            </w:pPr>
            <w:r>
              <w:rPr>
                <w:rFonts w:ascii="Arial" w:cs="Arial" w:eastAsia="Arial" w:hAnsi="Arial"/>
                <w:b w:val="false"/>
                <w:bCs w:val="false"/>
                <w:i/>
                <w:iCs/>
                <w:color w:val="E65100"/>
                <w:sz w:val="16"/>
                <w:szCs w:val="16"/>
              </w:rPr>
              <w:t xml:space="preserve">⚠ Règles aménagées : des adaptations réglementaires peuvent être proposées pour ce profil de joueur très débutant.</w:t>
            </w:r>
          </w:p>
        </w:tc>
        <w:tc>
          <w:tcPr>
            <w:tcW w:type="dxa" w:w="3333"/>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B45309"/>
                <w:sz w:val="19"/>
                <w:szCs w:val="19"/>
              </w:rPr>
              <w:t xml:space="preserve">« Joueur efficace en situation favorable »</w:t>
            </w:r>
          </w:p>
          <w:p>
            <w:pPr>
              <w:spacing w:after="40" w:before="40"/>
              <w:jc w:val="left"/>
            </w:pPr>
            <w:r>
              <w:rPr>
                <w:rFonts w:ascii="Arial" w:cs="Arial" w:eastAsia="Arial" w:hAnsi="Arial"/>
                <w:b/>
                <w:bCs/>
                <w:i w:val="false"/>
                <w:iCs w:val="false"/>
                <w:color w:val="B45309"/>
                <w:sz w:val="18"/>
                <w:szCs w:val="18"/>
              </w:rPr>
              <w:t xml:space="preserve">Score : 4 – 6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Conserve la balle ou offre une solution de passe. Renvois placés ou accélérés en situation favorable.</w:t>
            </w:r>
          </w:p>
          <w:p>
            <w:pPr>
              <w:spacing w:after="40" w:before="40"/>
              <w:jc w:val="left"/>
            </w:pPr>
            <w:r>
              <w:rPr>
                <w:rFonts w:ascii="Arial" w:cs="Arial" w:eastAsia="Arial" w:hAnsi="Arial"/>
                <w:b w:val="false"/>
                <w:bCs w:val="false"/>
                <w:i w:val="false"/>
                <w:iCs w:val="false"/>
                <w:color w:val="000000"/>
                <w:sz w:val="17"/>
                <w:szCs w:val="17"/>
              </w:rPr>
              <w:t xml:space="preserve">Les décisions sont pertinentes dans les situations simples mais restent limitées dans les contextes complexes.</w:t>
            </w:r>
          </w:p>
        </w:tc>
        <w:tc>
          <w:tcPr>
            <w:tcW w:type="dxa" w:w="3334"/>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1B5E20"/>
                <w:sz w:val="19"/>
                <w:szCs w:val="19"/>
              </w:rPr>
              <w:t xml:space="preserve">« Joueur mobile pour être efficace »</w:t>
            </w:r>
          </w:p>
          <w:p>
            <w:pPr>
              <w:spacing w:after="40" w:before="40"/>
              <w:jc w:val="left"/>
            </w:pPr>
            <w:r>
              <w:rPr>
                <w:rFonts w:ascii="Arial" w:cs="Arial" w:eastAsia="Arial" w:hAnsi="Arial"/>
                <w:b/>
                <w:bCs/>
                <w:i w:val="false"/>
                <w:iCs w:val="false"/>
                <w:color w:val="1B5E20"/>
                <w:sz w:val="18"/>
                <w:szCs w:val="18"/>
              </w:rPr>
              <w:t xml:space="preserve">Score : 6,5 – 8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Bonifie les balles reçues. Produit des renvois placés ou accélérés de manière constante.</w:t>
            </w:r>
          </w:p>
          <w:p>
            <w:pPr>
              <w:spacing w:after="40" w:before="40"/>
              <w:jc w:val="left"/>
            </w:pPr>
            <w:r>
              <w:rPr>
                <w:rFonts w:ascii="Arial" w:cs="Arial" w:eastAsia="Arial" w:hAnsi="Arial"/>
                <w:b w:val="false"/>
                <w:bCs w:val="false"/>
                <w:i w:val="false"/>
                <w:iCs w:val="false"/>
                <w:color w:val="000000"/>
                <w:sz w:val="17"/>
                <w:szCs w:val="17"/>
              </w:rPr>
              <w:t xml:space="preserve">Se déplace pour être en position optimale. Lecture anticipée du jeu.</w:t>
            </w:r>
          </w:p>
        </w:tc>
      </w:tr>
      <w:tr>
        <w:tc>
          <w:tcPr>
            <w:tcW w:type="dxa" w:w="2200"/>
            <w:tcBorders>
              <w:top w:val="single" w:color="CCCCCC" w:sz="4"/>
              <w:left w:val="single" w:color="CCCCCC" w:sz="4"/>
              <w:bottom w:val="single" w:color="CCCCCC" w:sz="4"/>
              <w:right w:val="single" w:color="CCCCCC" w:sz="4"/>
            </w:tcBorders>
            <w:shd w:fill="C2185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8"/>
                <w:szCs w:val="18"/>
              </w:rPr>
              <w:t xml:space="preserve">CRITÈRE 3</w:t>
            </w:r>
          </w:p>
          <w:p>
            <w:pPr>
              <w:spacing w:after="40" w:before="40"/>
              <w:jc w:val="left"/>
            </w:pPr>
            <w:r>
              <w:rPr>
                <w:rFonts w:ascii="Arial" w:cs="Arial" w:eastAsia="Arial" w:hAnsi="Arial"/>
                <w:b/>
                <w:bCs/>
                <w:i w:val="false"/>
                <w:iCs w:val="false"/>
                <w:color w:val="FFFFFF"/>
                <w:sz w:val="17"/>
                <w:szCs w:val="17"/>
              </w:rPr>
              <w:t xml:space="preserve">Efficacité dans le rôle d'arbitre et d'observateur</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bCs/>
                <w:i w:val="false"/>
                <w:iCs w:val="false"/>
                <w:color w:val="FFD6E7"/>
                <w:sz w:val="18"/>
                <w:szCs w:val="18"/>
              </w:rPr>
              <w:t xml:space="preserve">4 pts TOTAL</w:t>
            </w:r>
          </w:p>
          <w:p>
            <w:pPr>
              <w:spacing w:after="40" w:before="40"/>
              <w:jc w:val="left"/>
            </w:pPr>
            <w:r>
              <w:rPr>
                <w:rFonts w:ascii="Arial" w:cs="Arial" w:eastAsia="Arial" w:hAnsi="Arial"/>
                <w:b w:val="false"/>
                <w:bCs w:val="false"/>
                <w:i w:val="false"/>
                <w:iCs w:val="false"/>
                <w:color w:val="FFFFFF"/>
                <w:sz w:val="16"/>
                <w:szCs w:val="16"/>
              </w:rPr>
              <w:t xml:space="preserve">(score 0 → 4 pts)</w:t>
            </w:r>
          </w:p>
        </w:tc>
        <w:tc>
          <w:tcPr>
            <w:tcW w:type="dxa" w:w="2334"/>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Observation rôles sociaux :</w:t>
            </w:r>
          </w:p>
          <w:p>
            <w:pPr>
              <w:spacing w:after="40" w:before="40"/>
              <w:jc w:val="left"/>
            </w:pPr>
            <w:r>
              <w:rPr>
                <w:rFonts w:ascii="Arial" w:cs="Arial" w:eastAsia="Arial" w:hAnsi="Arial"/>
                <w:b w:val="false"/>
                <w:bCs w:val="false"/>
                <w:i w:val="false"/>
                <w:iCs w:val="false"/>
                <w:color w:val="000000"/>
                <w:sz w:val="18"/>
                <w:szCs w:val="18"/>
              </w:rPr>
              <w:t xml:space="preserve">• Fiabilité des données recueillies</w:t>
            </w:r>
          </w:p>
          <w:p>
            <w:pPr>
              <w:spacing w:after="40" w:before="40"/>
              <w:jc w:val="left"/>
            </w:pPr>
            <w:r>
              <w:rPr>
                <w:rFonts w:ascii="Arial" w:cs="Arial" w:eastAsia="Arial" w:hAnsi="Arial"/>
                <w:b w:val="false"/>
                <w:bCs w:val="false"/>
                <w:i w:val="false"/>
                <w:iCs w:val="false"/>
                <w:color w:val="000000"/>
                <w:sz w:val="18"/>
                <w:szCs w:val="18"/>
              </w:rPr>
              <w:t xml:space="preserve">• Justesse des décisions d'arbitrage</w:t>
            </w:r>
          </w:p>
          <w:p>
            <w:pPr>
              <w:spacing w:after="40" w:before="40"/>
              <w:jc w:val="left"/>
            </w:pPr>
            <w:r>
              <w:rPr>
                <w:rFonts w:ascii="Arial" w:cs="Arial" w:eastAsia="Arial" w:hAnsi="Arial"/>
                <w:b w:val="false"/>
                <w:bCs w:val="false"/>
                <w:i w:val="false"/>
                <w:iCs w:val="false"/>
                <w:color w:val="000000"/>
                <w:sz w:val="18"/>
                <w:szCs w:val="18"/>
              </w:rPr>
              <w:t xml:space="preserve">• Autonomie dans le rôle d'arbitre</w:t>
            </w:r>
          </w:p>
          <w:p>
            <w:pPr>
              <w:spacing w:after="40" w:before="40"/>
              <w:jc w:val="left"/>
            </w:pPr>
            <w:r>
              <w:rPr>
                <w:rFonts w:ascii="Arial" w:cs="Arial" w:eastAsia="Arial" w:hAnsi="Arial"/>
                <w:b w:val="false"/>
                <w:bCs w:val="false"/>
                <w:i w:val="false"/>
                <w:iCs w:val="false"/>
                <w:color w:val="000000"/>
                <w:sz w:val="18"/>
                <w:szCs w:val="18"/>
              </w:rPr>
              <w:t xml:space="preserve">• Qualité de la fiche d'observation</w:t>
            </w:r>
          </w:p>
          <w:p>
            <w:pPr>
              <w:spacing w:after="40" w:before="40"/>
              <w:jc w:val="left"/>
            </w:pPr>
            <w:r>
              <w:rPr>
                <w:rFonts w:ascii="Arial" w:cs="Arial" w:eastAsia="Arial" w:hAnsi="Arial"/>
                <w:b w:val="false"/>
                <w:bCs w:val="false"/>
                <w:i w:val="false"/>
                <w:iCs w:val="false"/>
                <w:color w:val="000000"/>
                <w:sz w:val="18"/>
                <w:szCs w:val="18"/>
              </w:rPr>
              <w:t xml:space="preserve">• Utilisation d'un vocabulaire précis</w:t>
            </w:r>
          </w:p>
          <w:p>
            <w:pPr>
              <w:spacing w:after="40" w:before="40"/>
              <w:jc w:val="left"/>
            </w:pPr>
            <w:r>
              <w:rPr>
                <w:rFonts w:ascii="Arial" w:cs="Arial" w:eastAsia="Arial" w:hAnsi="Arial"/>
                <w:b w:val="false"/>
                <w:bCs w:val="false"/>
                <w:i w:val="false"/>
                <w:iCs w:val="false"/>
                <w:color w:val="000000"/>
                <w:sz w:val="18"/>
                <w:szCs w:val="18"/>
              </w:rPr>
              <w:t xml:space="preserve">• Régulation du jeu avec assurance</w:t>
            </w:r>
          </w:p>
        </w:tc>
        <w:tc>
          <w:tcPr>
            <w:tcW w:type="dxa" w:w="3333"/>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E65100"/>
                <w:sz w:val="19"/>
                <w:szCs w:val="19"/>
              </w:rPr>
              <w:t xml:space="preserve">« Rôles insuffisamment assurés »</w:t>
            </w:r>
          </w:p>
          <w:p>
            <w:pPr>
              <w:spacing w:after="40" w:before="40"/>
              <w:jc w:val="left"/>
            </w:pPr>
            <w:r>
              <w:rPr>
                <w:rFonts w:ascii="Arial" w:cs="Arial" w:eastAsia="Arial" w:hAnsi="Arial"/>
                <w:b/>
                <w:bCs/>
                <w:i w:val="false"/>
                <w:iCs w:val="false"/>
                <w:color w:val="E65100"/>
                <w:sz w:val="18"/>
                <w:szCs w:val="18"/>
              </w:rPr>
              <w:t xml:space="preserve">Score : 0 – 1,5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Recueille des données insuffisamment fiables. En tant qu'arbitre, hésite parfois sur des actions difficiles à arbitrer.</w:t>
            </w:r>
          </w:p>
          <w:p>
            <w:pPr>
              <w:spacing w:after="40" w:before="40"/>
              <w:jc w:val="left"/>
            </w:pPr>
            <w:r>
              <w:rPr>
                <w:rFonts w:ascii="Arial" w:cs="Arial" w:eastAsia="Arial" w:hAnsi="Arial"/>
                <w:b w:val="false"/>
                <w:bCs w:val="false"/>
                <w:i w:val="false"/>
                <w:iCs w:val="false"/>
                <w:color w:val="000000"/>
                <w:sz w:val="17"/>
                <w:szCs w:val="17"/>
              </w:rPr>
              <w:t xml:space="preserve">Manque d'assurance et de précision dans les jugements.</w:t>
            </w:r>
          </w:p>
        </w:tc>
        <w:tc>
          <w:tcPr>
            <w:tcW w:type="dxa" w:w="3333"/>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B45309"/>
                <w:sz w:val="19"/>
                <w:szCs w:val="19"/>
              </w:rPr>
              <w:t xml:space="preserve">« Rôles assumés »</w:t>
            </w:r>
            <w:r>
              <w:rPr>
                <w:rFonts w:ascii="Arial" w:cs="Arial" w:eastAsia="Arial" w:hAnsi="Arial"/>
                <w:b w:val="false"/>
                <w:bCs w:val="false"/>
                <w:i/>
                <w:iCs/>
                <w:color w:val="8D6E63"/>
                <w:sz w:val="17"/>
                <w:szCs w:val="17"/>
              </w:rPr>
              <w:t xml:space="preserve"> (avec aide)</w:t>
            </w:r>
          </w:p>
          <w:p>
            <w:pPr>
              <w:spacing w:after="40" w:before="40"/>
              <w:jc w:val="left"/>
            </w:pPr>
            <w:r>
              <w:rPr>
                <w:rFonts w:ascii="Arial" w:cs="Arial" w:eastAsia="Arial" w:hAnsi="Arial"/>
                <w:b/>
                <w:bCs/>
                <w:i w:val="false"/>
                <w:iCs w:val="false"/>
                <w:color w:val="B45309"/>
                <w:sz w:val="18"/>
                <w:szCs w:val="18"/>
              </w:rPr>
              <w:t xml:space="preserve">Score : 2 – 3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Recueille des données globales, justes et fiables. Assume le rôle d'arbitre avec de l'aide.</w:t>
            </w:r>
          </w:p>
          <w:p>
            <w:pPr>
              <w:spacing w:after="40" w:before="40"/>
              <w:jc w:val="left"/>
            </w:pPr>
            <w:r>
              <w:rPr>
                <w:rFonts w:ascii="Arial" w:cs="Arial" w:eastAsia="Arial" w:hAnsi="Arial"/>
                <w:b w:val="false"/>
                <w:bCs w:val="false"/>
                <w:i/>
                <w:iCs/>
                <w:color w:val="5D4037"/>
                <w:sz w:val="16"/>
                <w:szCs w:val="16"/>
              </w:rPr>
              <w:t xml:space="preserve">⚡ DISTINCTION : 'assumés' (B) ≠ 'assurés' (C) : le degré B nécessite encore un accompagnement ; le degré C est pleinement autonome.</w:t>
            </w:r>
          </w:p>
        </w:tc>
        <w:tc>
          <w:tcPr>
            <w:tcW w:type="dxa" w:w="3334"/>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top"/>
          </w:tcPr>
          <w:p>
            <w:pPr>
              <w:spacing w:after="40" w:before="40"/>
            </w:pPr>
            <w:r>
              <w:rPr>
                <w:rFonts w:ascii="Arial" w:cs="Arial" w:eastAsia="Arial" w:hAnsi="Arial"/>
                <w:b/>
                <w:bCs/>
                <w:i w:val="false"/>
                <w:iCs w:val="false"/>
                <w:color w:val="1B5E20"/>
                <w:sz w:val="19"/>
                <w:szCs w:val="19"/>
              </w:rPr>
              <w:t xml:space="preserve">« Rôles assurés »</w:t>
            </w:r>
          </w:p>
          <w:p>
            <w:pPr>
              <w:spacing w:after="40" w:before="40"/>
              <w:jc w:val="left"/>
            </w:pPr>
            <w:r>
              <w:rPr>
                <w:rFonts w:ascii="Arial" w:cs="Arial" w:eastAsia="Arial" w:hAnsi="Arial"/>
                <w:b/>
                <w:bCs/>
                <w:i w:val="false"/>
                <w:iCs w:val="false"/>
                <w:color w:val="1B5E20"/>
                <w:sz w:val="18"/>
                <w:szCs w:val="18"/>
              </w:rPr>
              <w:t xml:space="preserve">Score : 3,5 – 4 pts</w:t>
            </w:r>
          </w:p>
          <w:p>
            <w:pPr>
              <w:spacing w:after="40" w:before="40"/>
              <w:jc w:val="left"/>
            </w:pPr>
            <w:r>
              <w:rPr>
                <w:rFonts w:ascii="Arial" w:cs="Arial" w:eastAsia="Arial" w:hAnsi="Arial"/>
                <w:b w:val="false"/>
                <w:bCs w:val="false"/>
                <w:i w:val="false"/>
                <w:iCs w:val="false"/>
                <w:color w:val="000000"/>
                <w:sz w:val="18"/>
                <w:szCs w:val="18"/>
              </w:rPr>
              <w:t xml:space="preserve"/>
            </w:r>
          </w:p>
          <w:p>
            <w:pPr>
              <w:spacing w:after="40" w:before="40"/>
              <w:jc w:val="left"/>
            </w:pPr>
            <w:r>
              <w:rPr>
                <w:rFonts w:ascii="Arial" w:cs="Arial" w:eastAsia="Arial" w:hAnsi="Arial"/>
                <w:b w:val="false"/>
                <w:bCs w:val="false"/>
                <w:i w:val="false"/>
                <w:iCs w:val="false"/>
                <w:color w:val="000000"/>
                <w:sz w:val="17"/>
                <w:szCs w:val="17"/>
              </w:rPr>
              <w:t xml:space="preserve">Recueille des données différenciées et exploitables. Assure son rôle d'arbitre de façon autonome et fiable.</w:t>
            </w:r>
          </w:p>
          <w:p>
            <w:pPr>
              <w:spacing w:after="40" w:before="40"/>
              <w:jc w:val="left"/>
            </w:pPr>
            <w:r>
              <w:rPr>
                <w:rFonts w:ascii="Arial" w:cs="Arial" w:eastAsia="Arial" w:hAnsi="Arial"/>
                <w:b w:val="false"/>
                <w:bCs w:val="false"/>
                <w:i w:val="false"/>
                <w:iCs w:val="false"/>
                <w:color w:val="000000"/>
                <w:sz w:val="17"/>
                <w:szCs w:val="17"/>
              </w:rPr>
              <w:t xml:space="preserve">Prend des décisions avec justesse et lucidité, au regard d'un référentiel précis.</w:t>
            </w:r>
          </w:p>
        </w:tc>
      </w:tr>
    </w:tbl>
    <w:p>
      <w:pPr>
        <w:pStyle w:val="Heading1"/>
        <w:spacing w:after="120" w:before="320"/>
      </w:pPr>
      <w:r>
        <w:rPr>
          <w:rFonts w:ascii="Arial" w:cs="Arial" w:eastAsia="Arial" w:hAnsi="Arial"/>
          <w:b/>
          <w:bCs/>
          <w:color w:val="880E4F"/>
          <w:sz w:val="26"/>
          <w:szCs w:val="26"/>
        </w:rPr>
        <w:t xml:space="preserve">2. ITEMS DU SOCLE COMMUN LIÉS AU VOLLEY-BALL</w:t>
      </w:r>
    </w:p>
    <w:tbl>
      <w:tblPr>
        <w:tblW w:type="dxa" w:w="14534"/>
        <w:tblBorders>
          <w:top w:val="single" w:color="auto" w:sz="4"/>
          <w:left w:val="single" w:color="auto" w:sz="4"/>
          <w:bottom w:val="single" w:color="auto" w:sz="4"/>
          <w:right w:val="single" w:color="auto" w:sz="4"/>
          <w:insideH w:val="single" w:color="auto" w:sz="4"/>
          <w:insideV w:val="single" w:color="auto" w:sz="4"/>
        </w:tblBorders>
      </w:tblPr>
      <w:tblGrid>
        <w:gridCol w:w="2400"/>
        <w:gridCol w:w="5967"/>
        <w:gridCol w:w="6167"/>
      </w:tblGrid>
      <w:tr>
        <w:trPr>
          <w:tblHeader/>
        </w:trPr>
        <w:tc>
          <w:tcPr>
            <w:tcW w:type="dxa" w:w="2400"/>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8"/>
                <w:szCs w:val="18"/>
              </w:rPr>
              <w:t xml:space="preserve">COMPÉTENCE DU SOCLE</w:t>
            </w:r>
          </w:p>
        </w:tc>
        <w:tc>
          <w:tcPr>
            <w:tcW w:type="dxa" w:w="5967"/>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8"/>
                <w:szCs w:val="18"/>
              </w:rPr>
              <w:t xml:space="preserve">ITEM ÉVALUÉ</w:t>
            </w:r>
          </w:p>
        </w:tc>
        <w:tc>
          <w:tcPr>
            <w:tcW w:type="dxa" w:w="6167"/>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8"/>
                <w:szCs w:val="18"/>
              </w:rPr>
              <w:t xml:space="preserve">INDICATEUR TERRAIN</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Compétence 1</w:t>
            </w:r>
          </w:p>
          <w:p>
            <w:pPr>
              <w:spacing w:after="40" w:before="40"/>
              <w:jc w:val="left"/>
            </w:pPr>
            <w:r>
              <w:rPr>
                <w:rFonts w:ascii="Arial" w:cs="Arial" w:eastAsia="Arial" w:hAnsi="Arial"/>
                <w:b w:val="false"/>
                <w:bCs w:val="false"/>
                <w:i w:val="false"/>
                <w:iCs w:val="false"/>
                <w:color w:val="000000"/>
                <w:sz w:val="16"/>
                <w:szCs w:val="16"/>
              </w:rPr>
              <w:t xml:space="preserve">Formuler clairement un propos simple / Participer à un débat</w:t>
            </w:r>
          </w:p>
        </w:tc>
        <w:tc>
          <w:tcPr>
            <w:tcW w:type="dxa" w:w="59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Expression orale lors des temps morts et des rôles d'observateur/co-arbitre.</w:t>
            </w:r>
          </w:p>
        </w:tc>
        <w:tc>
          <w:tcPr>
            <w:tcW w:type="dxa" w:w="61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L'élève utilise un vocabulaire précis et spécifique pour expliquer ses choix dans les différents rôles (joueur, arbitre, observateur). Il s'exprime lors des temps morts.</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Compétence 3</w:t>
            </w:r>
          </w:p>
          <w:p>
            <w:pPr>
              <w:spacing w:after="40" w:before="40"/>
              <w:jc w:val="left"/>
            </w:pPr>
            <w:r>
              <w:rPr>
                <w:rFonts w:ascii="Arial" w:cs="Arial" w:eastAsia="Arial" w:hAnsi="Arial"/>
                <w:b w:val="false"/>
                <w:bCs w:val="false"/>
                <w:i w:val="false"/>
                <w:iCs w:val="false"/>
                <w:color w:val="000000"/>
                <w:sz w:val="16"/>
                <w:szCs w:val="16"/>
              </w:rPr>
              <w:t xml:space="preserve">Rechercher, extraire et organiser l'information utile</w:t>
            </w:r>
          </w:p>
        </w:tc>
        <w:tc>
          <w:tcPr>
            <w:tcW w:type="dxa" w:w="59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Remplissage de la fiche d'observation avec fiabilité et exploitation lors du projet de jeu.</w:t>
            </w:r>
          </w:p>
        </w:tc>
        <w:tc>
          <w:tcPr>
            <w:tcW w:type="dxa" w:w="61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L'élève remplit une fiche d'observation avec grande fiabilité. Les données collectées permettent la régulation du projet de jeu de l'équipe lors du temps mort.</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8"/>
                <w:szCs w:val="18"/>
              </w:rPr>
              <w:t xml:space="preserve">Compétence 7</w:t>
            </w:r>
          </w:p>
          <w:p>
            <w:pPr>
              <w:spacing w:after="40" w:before="40"/>
              <w:jc w:val="left"/>
            </w:pPr>
            <w:r>
              <w:rPr>
                <w:rFonts w:ascii="Arial" w:cs="Arial" w:eastAsia="Arial" w:hAnsi="Arial"/>
                <w:b w:val="false"/>
                <w:bCs w:val="false"/>
                <w:i w:val="false"/>
                <w:iCs w:val="false"/>
                <w:color w:val="000000"/>
                <w:sz w:val="16"/>
                <w:szCs w:val="16"/>
              </w:rPr>
              <w:t xml:space="preserve">Assumer des rôles, prendre des initiatives et des décisions</w:t>
            </w:r>
          </w:p>
        </w:tc>
        <w:tc>
          <w:tcPr>
            <w:tcW w:type="dxa" w:w="59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Autonomie et assurance dans le rôle d'arbitre et prise de décision au regard du règlement.</w:t>
            </w:r>
          </w:p>
        </w:tc>
        <w:tc>
          <w:tcPr>
            <w:tcW w:type="dxa" w:w="61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L'élève dirige le jeu avec assurance. Il est reconnu dans son rôle d'arbitre par les joueurs. Ses décisions sont prises avec justesse et lucidité, au regard d'un référentiel précis : le règlement.</w:t>
            </w:r>
          </w:p>
        </w:tc>
      </w:tr>
    </w:tbl>
    <w:p>
      <w:pPr>
        <w:pStyle w:val="Heading1"/>
        <w:spacing w:after="120" w:before="320"/>
      </w:pPr>
      <w:r>
        <w:rPr>
          <w:rFonts w:ascii="Arial" w:cs="Arial" w:eastAsia="Arial" w:hAnsi="Arial"/>
          <w:b/>
          <w:bCs/>
          <w:color w:val="880E4F"/>
          <w:sz w:val="26"/>
          <w:szCs w:val="26"/>
        </w:rPr>
        <w:t xml:space="preserve">3. SPÉCIFICITÉS DE L'APS À INTÉGRER DANS L'OBSERVATION TERRAIN</w:t>
      </w:r>
    </w:p>
    <w:tbl>
      <w:tblPr>
        <w:tblW w:type="dxa" w:w="14534"/>
        <w:tblBorders>
          <w:top w:val="single" w:color="auto" w:sz="4"/>
          <w:left w:val="single" w:color="auto" w:sz="4"/>
          <w:bottom w:val="single" w:color="auto" w:sz="4"/>
          <w:right w:val="single" w:color="auto" w:sz="4"/>
          <w:insideH w:val="single" w:color="auto" w:sz="4"/>
          <w:insideV w:val="single" w:color="auto" w:sz="4"/>
        </w:tblBorders>
      </w:tblPr>
      <w:tblGrid>
        <w:gridCol w:w="3000"/>
        <w:gridCol w:w="11534"/>
      </w:tblGrid>
      <w:tr>
        <w:trPr>
          <w:tblHeader/>
        </w:trPr>
        <w:tc>
          <w:tcPr>
            <w:tcW w:type="dxa" w:w="3000"/>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8"/>
                <w:szCs w:val="18"/>
              </w:rPr>
              <w:t xml:space="preserve">SPÉCIFICITÉ TERRAIN</w:t>
            </w:r>
          </w:p>
        </w:tc>
        <w:tc>
          <w:tcPr>
            <w:tcW w:type="dxa" w:w="11534"/>
            <w:tcBorders>
              <w:top w:val="single" w:color="CCCCCC" w:sz="4"/>
              <w:left w:val="single" w:color="CCCCCC" w:sz="4"/>
              <w:bottom w:val="single" w:color="CCCCCC" w:sz="4"/>
              <w:right w:val="single" w:color="CCCCCC" w:sz="4"/>
            </w:tcBorders>
            <w:shd w:fill="880E4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FFFFFF"/>
                <w:sz w:val="18"/>
                <w:szCs w:val="18"/>
              </w:rPr>
              <w:t xml:space="preserve">MODALITÉ D'INTÉGRATION DANS L'OBSERVATION / L'ÉVALUATION</w:t>
            </w:r>
          </w:p>
        </w:tc>
      </w:tr>
      <w:tr>
        <w:tc>
          <w:tcPr>
            <w:tcW w:type="dxa" w:w="30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Effectif réduit</w:t>
            </w:r>
          </w:p>
        </w:tc>
        <w:tc>
          <w:tcPr>
            <w:tcW w:type="dxa" w:w="11534"/>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Matchs en format réduit (2c2, 3c3) pour maximiser les touches de balle et l'observation individuelle.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Rapport de force équilibré a priori</w:t>
            </w:r>
          </w:p>
        </w:tc>
        <w:tc>
          <w:tcPr>
            <w:tcW w:type="dxa" w:w="115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Veiller à l'homogénéité des équipes lors de la constitution des groupes. Ré-équilibrer si nécessaire.</w:t>
            </w:r>
          </w:p>
        </w:tc>
      </w:tr>
      <w:tr>
        <w:tc>
          <w:tcPr>
            <w:tcW w:type="dxa" w:w="30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Service aménagé</w:t>
            </w:r>
          </w:p>
        </w:tc>
        <w:tc>
          <w:tcPr>
            <w:tcW w:type="dxa" w:w="11534"/>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Le service peut être réalisé en lançant le ballon à deux mains depuis la zone arrière. Autorisation provisoire pour les très débutants.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Blocage bref / double touche</w:t>
            </w:r>
          </w:p>
        </w:tc>
        <w:tc>
          <w:tcPr>
            <w:tcW w:type="dxa" w:w="115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Blocage bref du ballon relancé à deux mains au-dessus de la tête autorisé sur 1re ou 2e touche. Double touche tolérée pour faciliter la continuité.</w:t>
            </w:r>
          </w:p>
        </w:tc>
      </w:tr>
      <w:tr>
        <w:tc>
          <w:tcPr>
            <w:tcW w:type="dxa" w:w="30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Jeu en 2 contre 2</w:t>
            </w:r>
          </w:p>
        </w:tc>
        <w:tc>
          <w:tcPr>
            <w:tcW w:type="dxa" w:w="11534"/>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Format spécifique pouvant être utilisé comme aménagement facilitateur pour l'évaluation.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Temps de concertation</w:t>
            </w:r>
          </w:p>
        </w:tc>
        <w:tc>
          <w:tcPr>
            <w:tcW w:type="dxa" w:w="115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Des temps de concertation (temps morts) sont prévus dans les phases de jeu : moment clé pour l'observation des compétences sociales et stratégiques.</w:t>
            </w:r>
          </w:p>
        </w:tc>
      </w:tr>
      <w:tr>
        <w:tc>
          <w:tcPr>
            <w:tcW w:type="dxa" w:w="30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Rotation des rôles</w:t>
            </w:r>
          </w:p>
        </w:tc>
        <w:tc>
          <w:tcPr>
            <w:tcW w:type="dxa" w:w="11534"/>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Chaque élève passe dans tous les rôles : joueur, observateur, co-arbitre. Planifier la rotation en amont.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Fiche d'observation</w:t>
            </w:r>
          </w:p>
        </w:tc>
        <w:tc>
          <w:tcPr>
            <w:tcW w:type="dxa" w:w="115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Préparer une fiche structurée permettant de recueillir des données fiables et différenciées (critère 3).</w:t>
            </w:r>
          </w:p>
        </w:tc>
      </w:tr>
      <w:tr>
        <w:tc>
          <w:tcPr>
            <w:tcW w:type="dxa" w:w="30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7"/>
                <w:szCs w:val="17"/>
              </w:rPr>
              <w:t xml:space="preserve">Vocabulaire technique attendu</w:t>
            </w:r>
          </w:p>
        </w:tc>
        <w:tc>
          <w:tcPr>
            <w:tcW w:type="dxa" w:w="11534"/>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7"/>
                <w:szCs w:val="17"/>
              </w:rPr>
              <w:t xml:space="preserve">Prépasser en amont les termes techniques : manchette, manchons, smash, service, libéro, rotation, faute de position, let.</w:t>
            </w:r>
          </w:p>
        </w:tc>
      </w:tr>
    </w:tbl>
    <w:p>
      <w:pPr>
        <w:pStyle w:val="Heading1"/>
        <w:spacing w:after="120" w:before="320"/>
      </w:pPr>
      <w:r>
        <w:rPr>
          <w:rFonts w:ascii="Arial" w:cs="Arial" w:eastAsia="Arial" w:hAnsi="Arial"/>
          <w:b/>
          <w:bCs/>
          <w:color w:val="880E4F"/>
          <w:sz w:val="26"/>
          <w:szCs w:val="26"/>
        </w:rPr>
        <w:t xml:space="preserve">4. NOTES CRITIQUES ET POINTS DE VIGILANCE</w:t>
      </w:r>
    </w:p>
    <w:p>
      <w:pPr>
        <w:spacing w:after="60" w:before="60"/>
      </w:pPr>
      <w:r>
        <w:rPr>
          <w:rFonts w:ascii="Arial" w:cs="Arial" w:eastAsia="Arial" w:hAnsi="Arial"/>
          <w:b/>
          <w:bCs/>
          <w:color w:val="E65100"/>
          <w:sz w:val="19"/>
          <w:szCs w:val="19"/>
        </w:rPr>
        <w:t xml:space="preserve">⚡ DISTINCTION CLEF — « Rôles assumés » (B) vs « Rôles assurés » (C) :</w:t>
      </w:r>
    </w:p>
    <w:p>
      <w:pPr>
        <w:spacing w:after="80" w:before="0"/>
      </w:pPr>
      <w:r>
        <w:rPr>
          <w:rFonts w:ascii="Arial" w:cs="Arial" w:eastAsia="Arial" w:hAnsi="Arial"/>
          <w:sz w:val="18"/>
          <w:szCs w:val="18"/>
        </w:rPr>
        <w:t xml:space="preserve">Au degré B (Rôles assumés), l'élève a encore besoin d'une aide extérieure (enseignant, co-arbitre) pour assumer ses responsabilités. Au degré C (Rôles assurés), l'élève est pleinement autonome, fiable et reconnu par ses pairs dans son rôle. Cette distinction est fondamentale dans l'évaluation du critère 3.</w:t>
      </w:r>
    </w:p>
    <w:p>
      <w:pPr>
        <w:spacing w:after="60" w:before="60"/>
      </w:pPr>
      <w:r>
        <w:rPr>
          <w:rFonts w:ascii="Arial" w:cs="Arial" w:eastAsia="Arial" w:hAnsi="Arial"/>
          <w:b/>
          <w:bCs/>
          <w:color w:val="E65100"/>
          <w:sz w:val="19"/>
          <w:szCs w:val="19"/>
        </w:rPr>
        <w:t xml:space="preserve">⚠ MENTION « Règles aménagées » pour très débutants :</w:t>
      </w:r>
    </w:p>
    <w:p>
      <w:pPr>
        <w:spacing w:after="80" w:before="0"/>
      </w:pPr>
      <w:r>
        <w:rPr>
          <w:rFonts w:ascii="Arial" w:cs="Arial" w:eastAsia="Arial" w:hAnsi="Arial"/>
          <w:sz w:val="18"/>
          <w:szCs w:val="18"/>
        </w:rPr>
        <w:t xml:space="preserve">L'intitulé exact du degré A pour le critère 2 est « Joueur intermittent ou devant bénéficier de règles aménagées ». Cette mention signale explicitement que des adaptations réglementaires (service simplifié, double touche, blocage autorisé) peuvent être proposées pour les élèves débutants identifiés à ce niveau. Ces aménagements ne modifient pas la note mais permettent une participation équitable et une observation significative.</w:t>
      </w:r>
    </w:p>
    <w:p>
      <w:pPr>
        <w:spacing w:after="60" w:before="60"/>
      </w:pPr>
      <w:r>
        <w:rPr>
          <w:rFonts w:ascii="Arial" w:cs="Arial" w:eastAsia="Arial" w:hAnsi="Arial"/>
          <w:b/>
          <w:bCs/>
          <w:color w:val="880E4F"/>
          <w:sz w:val="19"/>
          <w:szCs w:val="19"/>
        </w:rPr>
        <w:t xml:space="preserve">📋 PONDÉRATION GLOBALE :</w:t>
      </w:r>
    </w:p>
    <w:p>
      <w:pPr>
        <w:spacing w:after="40" w:before="0"/>
      </w:pPr>
      <w:r>
        <w:rPr>
          <w:rFonts w:ascii="Arial" w:cs="Arial" w:eastAsia="Arial" w:hAnsi="Arial"/>
          <w:sz w:val="18"/>
          <w:szCs w:val="18"/>
        </w:rPr>
        <w:t xml:space="preserve">• Critère 1 — Efficacité collective (Gain du match) : 8 points (dont 6 pts jeu collectif + 2 pts résultats matchs)</w:t>
      </w:r>
    </w:p>
    <w:p>
      <w:pPr>
        <w:spacing w:after="40" w:before="0"/>
      </w:pPr>
      <w:r>
        <w:rPr>
          <w:rFonts w:ascii="Arial" w:cs="Arial" w:eastAsia="Arial" w:hAnsi="Arial"/>
          <w:sz w:val="18"/>
          <w:szCs w:val="18"/>
        </w:rPr>
        <w:t xml:space="preserve">• Critère 2 — Efficacité individuelle dans l'organisation collective : 8 points</w:t>
      </w:r>
    </w:p>
    <w:p>
      <w:pPr>
        <w:spacing w:after="80" w:before="0"/>
      </w:pPr>
      <w:r>
        <w:rPr>
          <w:rFonts w:ascii="Arial" w:cs="Arial" w:eastAsia="Arial" w:hAnsi="Arial"/>
          <w:sz w:val="18"/>
          <w:szCs w:val="18"/>
        </w:rPr>
        <w:t xml:space="preserve">• Critère 3 — Efficacité dans le rôle d'arbitre et d'observateur : 4 points</w:t>
      </w:r>
    </w:p>
    <w:p>
      <w:pPr>
        <w:spacing w:after="40" w:before="0"/>
      </w:pPr>
      <w:r>
        <w:rPr>
          <w:rFonts w:ascii="Arial" w:cs="Arial" w:eastAsia="Arial" w:hAnsi="Arial"/>
          <w:b/>
          <w:bCs/>
          <w:color w:val="880E4F"/>
          <w:sz w:val="22"/>
          <w:szCs w:val="22"/>
        </w:rPr>
        <w:t xml:space="preserve">TOTAL : 20 points</w:t>
      </w:r>
    </w:p>
    <w:p>
      <w:pPr>
        <w:pBdr>
          <w:top w:val="single" w:color="CCCCCC" w:sz="6" w:space="1"/>
        </w:pBdr>
        <w:spacing w:after="0" w:before="240"/>
        <w:jc w:val="right"/>
      </w:pPr>
      <w:r>
        <w:rPr>
          <w:rFonts w:ascii="Arial" w:cs="Arial" w:eastAsia="Arial" w:hAnsi="Arial"/>
          <w:color w:val="999999"/>
          <w:sz w:val="16"/>
          <w:szCs w:val="16"/>
        </w:rPr>
        <w:t xml:space="preserve">Document généré par IA · Basé sur le référentiel officiel DNB Volley-Ball · ADP2026 · Équipe COLL3</w:t>
      </w:r>
    </w:p>
    <w:sectPr>
      <w:pgSz w:w="15840" w:h="12240" w:orient="landscape"/>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880E4F"/>
      <w:sz w:val="30"/>
      <w:szCs w:val="30"/>
    </w:rPr>
  </w:style>
  <w:style w:type="paragraph" w:styleId="Heading2">
    <w:name w:val="Heading 2"/>
    <w:basedOn w:val="Normal"/>
    <w:next w:val="Normal"/>
    <w:pPr>
      <w:spacing w:after="100" w:before="200"/>
      <w:outlineLvl w:val="1"/>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2026-04-22T17:22:48.061Z</dcterms:created>
  <dcterms:modified xsi:type="dcterms:W3CDTF">2026-04-22T17:22:48.062Z</dcterms:modified>
</cp:coreProperties>
</file>

<file path=docProps/custom.xml><?xml version="1.0" encoding="utf-8"?>
<Properties xmlns="http://schemas.openxmlformats.org/officeDocument/2006/custom-properties" xmlns:vt="http://schemas.openxmlformats.org/officeDocument/2006/docPropsVTypes"/>
</file>