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021B" w:rsidRPr="000D1790" w:rsidRDefault="000D1790">
      <w:pPr>
        <w:rPr>
          <w:b/>
          <w:u w:val="single"/>
        </w:rPr>
      </w:pPr>
      <w:r w:rsidRPr="000D1790">
        <w:rPr>
          <w:b/>
          <w:u w:val="single"/>
          <w:lang w:val="en-US"/>
        </w:rPr>
        <w:t>ANALYSE BIVARIEE:</w:t>
      </w:r>
    </w:p>
    <w:p w:rsidR="000D1790" w:rsidRDefault="000D1790">
      <w:r w:rsidRPr="000D1790">
        <w:t>L’objectif de l’</w:t>
      </w:r>
      <w:r>
        <w:t>analyse bivarié</w:t>
      </w:r>
      <w:r w:rsidRPr="000D1790">
        <w:t xml:space="preserve">e est la détermination des potentiels liens </w:t>
      </w:r>
      <w:r>
        <w:t xml:space="preserve">existants entre la variable cible, V9 (le nombre de cas de paludisme) et les variables explicatives les plus probables. </w:t>
      </w:r>
    </w:p>
    <w:p w:rsidR="000D1790" w:rsidRDefault="000D1790">
      <w:r>
        <w:t>Cet objectif qui s’agit de soulever de pertinents liens statistiques significatifs, mais aussi pratiques existant entre ces variables, guidera essentiellement nos choix d’études.</w:t>
      </w:r>
    </w:p>
    <w:p w:rsidR="000D1790" w:rsidRDefault="000D1790">
      <w:r>
        <w:t xml:space="preserve">(Exposition du plan…) </w:t>
      </w:r>
    </w:p>
    <w:p w:rsidR="000D1790" w:rsidRDefault="000D1790" w:rsidP="000D1790">
      <w:pPr>
        <w:pStyle w:val="Paragraphedeliste"/>
        <w:numPr>
          <w:ilvl w:val="0"/>
          <w:numId w:val="1"/>
        </w:numPr>
        <w:rPr>
          <w:b/>
        </w:rPr>
      </w:pPr>
      <w:r w:rsidRPr="00107F25">
        <w:rPr>
          <w:b/>
          <w:u w:val="single"/>
        </w:rPr>
        <w:t>Etude de corrélations</w:t>
      </w:r>
      <w:r w:rsidRPr="000D1790">
        <w:rPr>
          <w:b/>
        </w:rPr>
        <w:t> :</w:t>
      </w:r>
    </w:p>
    <w:p w:rsidR="000D1790" w:rsidRDefault="000D1790" w:rsidP="000D1790">
      <w:r>
        <w:t xml:space="preserve">Pour la corrélation nous avons procèdes par un choix non anodin des variables allant de V5 </w:t>
      </w:r>
      <w:r>
        <w:t>à</w:t>
      </w:r>
      <w:r>
        <w:t xml:space="preserve"> V9. Ce choix est guidé par leur représentation dans la base. En effet ce sont des variables ayant un caractère indépendant à certains égards, contrairement aux autres variables numériques qui sont conçues à partir de ces variables.</w:t>
      </w:r>
    </w:p>
    <w:p w:rsidR="000D1790" w:rsidRDefault="000D1790" w:rsidP="000D1790">
      <w:pPr>
        <w:pStyle w:val="Paragraphedeliste"/>
        <w:numPr>
          <w:ilvl w:val="0"/>
          <w:numId w:val="2"/>
        </w:numPr>
      </w:pPr>
      <w:r>
        <w:rPr>
          <w:b/>
          <w:u w:val="single"/>
        </w:rPr>
        <w:t xml:space="preserve">Graphique de </w:t>
      </w:r>
      <w:r w:rsidR="00107F25">
        <w:rPr>
          <w:b/>
          <w:u w:val="single"/>
        </w:rPr>
        <w:t>corrélations</w:t>
      </w:r>
      <w:r>
        <w:rPr>
          <w:b/>
        </w:rPr>
        <w:t> :</w:t>
      </w:r>
    </w:p>
    <w:p w:rsidR="000D1790" w:rsidRDefault="000D1790" w:rsidP="000D1790">
      <w:r>
        <w:rPr>
          <w:noProof/>
          <w:lang w:eastAsia="fr-FR"/>
        </w:rPr>
        <w:drawing>
          <wp:inline distT="0" distB="0" distL="0" distR="0">
            <wp:extent cx="5760720" cy="2888615"/>
            <wp:effectExtent l="0" t="0" r="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QUE DE CORRELATION DES VARIABLES V5-V9.png"/>
                    <pic:cNvPicPr/>
                  </pic:nvPicPr>
                  <pic:blipFill>
                    <a:blip r:embed="rId5">
                      <a:extLst>
                        <a:ext uri="{28A0092B-C50C-407E-A947-70E740481C1C}">
                          <a14:useLocalDpi xmlns:a14="http://schemas.microsoft.com/office/drawing/2010/main" val="0"/>
                        </a:ext>
                      </a:extLst>
                    </a:blip>
                    <a:stretch>
                      <a:fillRect/>
                    </a:stretch>
                  </pic:blipFill>
                  <pic:spPr>
                    <a:xfrm>
                      <a:off x="0" y="0"/>
                      <a:ext cx="5760720" cy="2888615"/>
                    </a:xfrm>
                    <a:prstGeom prst="rect">
                      <a:avLst/>
                    </a:prstGeom>
                  </pic:spPr>
                </pic:pic>
              </a:graphicData>
            </a:graphic>
          </wp:inline>
        </w:drawing>
      </w:r>
    </w:p>
    <w:p w:rsidR="000D1790" w:rsidRDefault="000D1790" w:rsidP="000D1790"/>
    <w:p w:rsidR="000D1790" w:rsidRDefault="000D1790" w:rsidP="000D1790">
      <w:pPr>
        <w:rPr>
          <w:b/>
        </w:rPr>
      </w:pPr>
      <w:r>
        <w:rPr>
          <w:b/>
          <w:u w:val="single"/>
        </w:rPr>
        <w:t>Interprétations</w:t>
      </w:r>
      <w:r>
        <w:rPr>
          <w:b/>
        </w:rPr>
        <w:t> :</w:t>
      </w:r>
    </w:p>
    <w:p w:rsidR="000D1790" w:rsidRDefault="000D1790" w:rsidP="000D1790">
      <w:r>
        <w:t xml:space="preserve">Ce graphique présente les coefficients de corrélation entre V9 et les variables V5, V6, V7 et V8, ainsi que la </w:t>
      </w:r>
      <w:r w:rsidR="009524FA">
        <w:t>significativité</w:t>
      </w:r>
      <w:r w:rsidR="0099609B">
        <w:t xml:space="preserve"> des liens existants entre ces variables.</w:t>
      </w:r>
    </w:p>
    <w:p w:rsidR="002C0613" w:rsidRDefault="002C0613" w:rsidP="000D1790">
      <w:r>
        <w:t xml:space="preserve">La corrélation forte </w:t>
      </w:r>
      <w:r w:rsidR="00E47C74">
        <w:t xml:space="preserve">très </w:t>
      </w:r>
      <w:r>
        <w:t xml:space="preserve">significative entre V8 et V9 traduit l’existence d’un lien significatif entre </w:t>
      </w:r>
      <w:r w:rsidRPr="00D3550A">
        <w:t>le nombre de cas de test</w:t>
      </w:r>
      <w:r w:rsidRPr="00D3550A">
        <w:t>é</w:t>
      </w:r>
      <w:r w:rsidRPr="00D3550A">
        <w:t xml:space="preserve">s positifs au paludisme </w:t>
      </w:r>
      <w:r>
        <w:t>(</w:t>
      </w:r>
      <w:r w:rsidRPr="002C0613">
        <w:rPr>
          <w:b/>
        </w:rPr>
        <w:t>le nombre de cas de paludisme</w:t>
      </w:r>
      <w:r>
        <w:t xml:space="preserve">) et </w:t>
      </w:r>
      <w:r w:rsidRPr="002C0613">
        <w:rPr>
          <w:b/>
        </w:rPr>
        <w:t>le nombre de tests TDR réalis</w:t>
      </w:r>
      <w:r w:rsidRPr="002C0613">
        <w:rPr>
          <w:b/>
        </w:rPr>
        <w:t>é</w:t>
      </w:r>
      <w:r w:rsidRPr="002C0613">
        <w:rPr>
          <w:b/>
        </w:rPr>
        <w:t>s</w:t>
      </w:r>
      <w:r>
        <w:t>.</w:t>
      </w:r>
    </w:p>
    <w:p w:rsidR="00E40324" w:rsidRDefault="00E40324" w:rsidP="000D1790">
      <w:r>
        <w:t xml:space="preserve">Le lien entre V7 et V9 est également caractérisé par une corrélation forte et </w:t>
      </w:r>
      <w:r w:rsidR="00E47C74">
        <w:t xml:space="preserve">très </w:t>
      </w:r>
      <w:r>
        <w:t xml:space="preserve">significative. Ce traduit un fort lien significatif entre </w:t>
      </w:r>
      <w:r w:rsidRPr="00D3550A">
        <w:rPr>
          <w:b/>
        </w:rPr>
        <w:t>le nombre de cas de paludisme</w:t>
      </w:r>
      <w:r>
        <w:t xml:space="preserve"> et le nombre de cas suspect</w:t>
      </w:r>
      <w:r>
        <w:t>é</w:t>
      </w:r>
      <w:r>
        <w:t>s d’avoir la malaria</w:t>
      </w:r>
      <w:r w:rsidR="00D3550A">
        <w:t xml:space="preserve"> (</w:t>
      </w:r>
      <w:r w:rsidR="00D3550A" w:rsidRPr="00D3550A">
        <w:rPr>
          <w:b/>
        </w:rPr>
        <w:t>le nombre de cas suspects</w:t>
      </w:r>
      <w:r w:rsidR="00D3550A">
        <w:t>).</w:t>
      </w:r>
    </w:p>
    <w:p w:rsidR="00D3550A" w:rsidRDefault="00D3550A" w:rsidP="000D1790">
      <w:r>
        <w:t xml:space="preserve">En ce concerne les variables V9 et V6, malgré que la corrélation soit très significative, elle est trop faible pour traduire un lien entre </w:t>
      </w:r>
      <w:r w:rsidRPr="00D3550A">
        <w:rPr>
          <w:b/>
        </w:rPr>
        <w:t>le nombre de consultants toutes causes</w:t>
      </w:r>
      <w:r>
        <w:rPr>
          <w:b/>
        </w:rPr>
        <w:t xml:space="preserve"> </w:t>
      </w:r>
      <w:r>
        <w:t xml:space="preserve">et </w:t>
      </w:r>
      <w:r w:rsidRPr="00D3550A">
        <w:rPr>
          <w:b/>
        </w:rPr>
        <w:t xml:space="preserve">le nombre le cas de </w:t>
      </w:r>
      <w:r w:rsidRPr="00D3550A">
        <w:rPr>
          <w:b/>
        </w:rPr>
        <w:lastRenderedPageBreak/>
        <w:t>paludisme</w:t>
      </w:r>
      <w:r>
        <w:t>. D’ailleurs</w:t>
      </w:r>
      <w:r w:rsidR="002949A3">
        <w:t>,</w:t>
      </w:r>
      <w:r>
        <w:t xml:space="preserve"> cela est </w:t>
      </w:r>
      <w:r w:rsidR="002949A3">
        <w:t xml:space="preserve">plutôt </w:t>
      </w:r>
      <w:r>
        <w:t>normal</w:t>
      </w:r>
      <w:r w:rsidR="002949A3">
        <w:t>,</w:t>
      </w:r>
      <w:r>
        <w:t xml:space="preserve"> si l’on sait que la variable V6 est sous l’influence de toutes les maladies que l’environnement médical </w:t>
      </w:r>
      <w:r w:rsidR="002949A3">
        <w:t>héberge.</w:t>
      </w:r>
    </w:p>
    <w:p w:rsidR="002949A3" w:rsidRPr="002949A3" w:rsidRDefault="002949A3" w:rsidP="000D1790">
      <w:r>
        <w:t xml:space="preserve">Enfin, les variables V5 et V9 sont lies par une corrélation faible et non significatif, cela traduit qu’il n’existe aucun lien entre </w:t>
      </w:r>
      <w:r w:rsidRPr="002949A3">
        <w:rPr>
          <w:b/>
        </w:rPr>
        <w:t>la population totale</w:t>
      </w:r>
      <w:r>
        <w:t xml:space="preserve"> et </w:t>
      </w:r>
      <w:r w:rsidRPr="002949A3">
        <w:rPr>
          <w:b/>
        </w:rPr>
        <w:t>le nombre de cas de paludisme</w:t>
      </w:r>
      <w:r>
        <w:t>.</w:t>
      </w:r>
    </w:p>
    <w:p w:rsidR="002949A3" w:rsidRDefault="002949A3" w:rsidP="000D1790">
      <w:r>
        <w:t>Dès lors, deux variables quantitatives attirent l’attention sur les quatre variables désignées pour les tests de corrélation. Il s’agit des variables V7</w:t>
      </w:r>
      <w:r w:rsidR="00E47C74">
        <w:t xml:space="preserve"> et V8</w:t>
      </w:r>
      <w:r>
        <w:t xml:space="preserve"> qui désigne</w:t>
      </w:r>
      <w:r w:rsidR="00E47C74">
        <w:t>nt respectivement</w:t>
      </w:r>
      <w:r>
        <w:t xml:space="preserve">  </w:t>
      </w:r>
      <w:r w:rsidRPr="00D3550A">
        <w:rPr>
          <w:b/>
        </w:rPr>
        <w:t>le nombre de cas suspects</w:t>
      </w:r>
      <w:r>
        <w:rPr>
          <w:b/>
        </w:rPr>
        <w:t xml:space="preserve"> </w:t>
      </w:r>
      <w:r>
        <w:t xml:space="preserve">et </w:t>
      </w:r>
      <w:r w:rsidR="00E47C74" w:rsidRPr="002C0613">
        <w:rPr>
          <w:b/>
        </w:rPr>
        <w:t>le nombre de tests TDR réalisés</w:t>
      </w:r>
      <w:r w:rsidR="00E47C74">
        <w:t xml:space="preserve">. </w:t>
      </w:r>
    </w:p>
    <w:p w:rsidR="00E47C74" w:rsidRDefault="00E47C74" w:rsidP="000D1790">
      <w:r>
        <w:t>Par ailleurs, il faudra porter une attention particulière sur la très forte corrélation très significative entre les variables V7 et V8. Ce lien pourrait dans certains cas permettre de permuter mutuellement les deux variables entre elles.</w:t>
      </w:r>
    </w:p>
    <w:p w:rsidR="00107F25" w:rsidRDefault="001C1017" w:rsidP="000D1790">
      <w:r>
        <w:t>NB : La complémentarité des variables ainsi que les forts rapports pratiques entre elles nous a adopter une analyse graphique multivariée. Cette dernière permettra de déceler des aspects très utiles pour lors des interprétations.</w:t>
      </w:r>
    </w:p>
    <w:p w:rsidR="002209CB" w:rsidRDefault="002209CB" w:rsidP="000D1790"/>
    <w:p w:rsidR="00107F25" w:rsidRDefault="002209CB" w:rsidP="00107F25">
      <w:pPr>
        <w:pStyle w:val="Paragraphedeliste"/>
        <w:numPr>
          <w:ilvl w:val="0"/>
          <w:numId w:val="1"/>
        </w:numPr>
        <w:rPr>
          <w:b/>
        </w:rPr>
      </w:pPr>
      <w:r>
        <w:rPr>
          <w:b/>
          <w:u w:val="single"/>
        </w:rPr>
        <w:t>Relation entre V9 et les variables catégorielles</w:t>
      </w:r>
      <w:r>
        <w:rPr>
          <w:b/>
        </w:rPr>
        <w:t> :</w:t>
      </w:r>
    </w:p>
    <w:p w:rsidR="002E15E2" w:rsidRPr="002E15E2" w:rsidRDefault="002E15E2" w:rsidP="002E15E2">
      <w:pPr>
        <w:pStyle w:val="Paragraphedeliste"/>
        <w:numPr>
          <w:ilvl w:val="0"/>
          <w:numId w:val="6"/>
        </w:numPr>
        <w:rPr>
          <w:b/>
        </w:rPr>
      </w:pPr>
      <w:r w:rsidRPr="002E15E2">
        <w:rPr>
          <w:b/>
          <w:u w:val="single"/>
        </w:rPr>
        <w:t>Suivant les régions</w:t>
      </w:r>
      <w:r w:rsidRPr="002E15E2">
        <w:rPr>
          <w:b/>
        </w:rPr>
        <w:t> :</w:t>
      </w:r>
    </w:p>
    <w:p w:rsidR="00C7150F" w:rsidRPr="00C7150F" w:rsidRDefault="00C7150F" w:rsidP="002E15E2">
      <w:pPr>
        <w:pStyle w:val="Paragraphedeliste"/>
        <w:numPr>
          <w:ilvl w:val="0"/>
          <w:numId w:val="2"/>
        </w:numPr>
        <w:rPr>
          <w:b/>
          <w:u w:val="single"/>
        </w:rPr>
      </w:pPr>
      <w:r w:rsidRPr="00C7150F">
        <w:rPr>
          <w:b/>
          <w:u w:val="single"/>
        </w:rPr>
        <w:t>Diagramme</w:t>
      </w:r>
      <w:r w:rsidR="00843D14">
        <w:rPr>
          <w:b/>
          <w:u w:val="single"/>
        </w:rPr>
        <w:t>s conjoints</w:t>
      </w:r>
      <w:r w:rsidRPr="00C7150F">
        <w:rPr>
          <w:b/>
          <w:u w:val="single"/>
        </w:rPr>
        <w:t xml:space="preserve"> des études sur le Paludisme par région</w:t>
      </w:r>
      <w:r>
        <w:rPr>
          <w:b/>
          <w:u w:val="single"/>
        </w:rPr>
        <w:t xml:space="preserve"> (incluant V6)</w:t>
      </w:r>
      <w:r>
        <w:rPr>
          <w:b/>
        </w:rPr>
        <w:t> :</w:t>
      </w:r>
    </w:p>
    <w:p w:rsidR="00C7150F" w:rsidRDefault="00C7150F" w:rsidP="00C7150F">
      <w:pPr>
        <w:rPr>
          <w:b/>
          <w:u w:val="single"/>
        </w:rPr>
      </w:pPr>
      <w:r w:rsidRPr="00C7150F">
        <w:rPr>
          <w:b/>
          <w:noProof/>
          <w:lang w:eastAsia="fr-FR"/>
        </w:rPr>
        <w:drawing>
          <wp:inline distT="0" distB="0" distL="0" distR="0">
            <wp:extent cx="5760720" cy="2888615"/>
            <wp:effectExtent l="0" t="0" r="0"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me récapitulatif des études sur le Paludisme.png"/>
                    <pic:cNvPicPr/>
                  </pic:nvPicPr>
                  <pic:blipFill>
                    <a:blip r:embed="rId6">
                      <a:extLst>
                        <a:ext uri="{28A0092B-C50C-407E-A947-70E740481C1C}">
                          <a14:useLocalDpi xmlns:a14="http://schemas.microsoft.com/office/drawing/2010/main" val="0"/>
                        </a:ext>
                      </a:extLst>
                    </a:blip>
                    <a:stretch>
                      <a:fillRect/>
                    </a:stretch>
                  </pic:blipFill>
                  <pic:spPr>
                    <a:xfrm>
                      <a:off x="0" y="0"/>
                      <a:ext cx="5760720" cy="2888615"/>
                    </a:xfrm>
                    <a:prstGeom prst="rect">
                      <a:avLst/>
                    </a:prstGeom>
                  </pic:spPr>
                </pic:pic>
              </a:graphicData>
            </a:graphic>
          </wp:inline>
        </w:drawing>
      </w:r>
    </w:p>
    <w:p w:rsidR="00C7150F" w:rsidRDefault="00C7150F" w:rsidP="00C7150F">
      <w:r>
        <w:rPr>
          <w:b/>
          <w:u w:val="single"/>
        </w:rPr>
        <w:t>Remarque</w:t>
      </w:r>
      <w:r>
        <w:rPr>
          <w:b/>
        </w:rPr>
        <w:t xml:space="preserve"> : </w:t>
      </w:r>
      <w:r>
        <w:t xml:space="preserve">Ce graphique donne visuel d’ensemble sur le poids de la malaria sur les consultations toutes causes confondues. Aussi il donne une idée sur l’étendue de la couverture </w:t>
      </w:r>
      <w:r w:rsidR="00FA2D47">
        <w:t xml:space="preserve">médicale dans les régions. </w:t>
      </w:r>
    </w:p>
    <w:p w:rsidR="00FA2D47" w:rsidRPr="00C7150F" w:rsidRDefault="00FA2D47" w:rsidP="00C7150F">
      <w:r>
        <w:t xml:space="preserve">Globalement le poids consultants pour la malaria occupe une place modeste chez les plateaux de recensement des consultants. Aussi les </w:t>
      </w:r>
      <w:r w:rsidR="00843D14">
        <w:t>données</w:t>
      </w:r>
      <w:r>
        <w:t xml:space="preserve"> montre les </w:t>
      </w:r>
      <w:r w:rsidR="00843D14">
        <w:t>consultations</w:t>
      </w:r>
      <w:r>
        <w:t xml:space="preserve"> </w:t>
      </w:r>
      <w:r w:rsidR="00843D14">
        <w:t>médicales</w:t>
      </w:r>
      <w:r>
        <w:t xml:space="preserve"> sont plus importantes </w:t>
      </w:r>
      <w:r w:rsidR="00843D14">
        <w:t>à</w:t>
      </w:r>
      <w:r>
        <w:t xml:space="preserve"> Dakar, suivi des </w:t>
      </w:r>
      <w:r w:rsidR="00843D14">
        <w:t>régions</w:t>
      </w:r>
      <w:r>
        <w:t xml:space="preserve"> </w:t>
      </w:r>
      <w:r w:rsidR="00843D14">
        <w:t>Thiès</w:t>
      </w:r>
      <w:r>
        <w:t>, Diourbel, qui restent faible par rapport a Dakar.</w:t>
      </w:r>
      <w:r w:rsidR="00843D14">
        <w:t xml:space="preserve"> Tandis que dans les autres régions les constations sont relativement faibles. </w:t>
      </w:r>
    </w:p>
    <w:p w:rsidR="00843D14" w:rsidRPr="002E15E2" w:rsidRDefault="00843D14" w:rsidP="002E15E2">
      <w:pPr>
        <w:pStyle w:val="Paragraphedeliste"/>
        <w:numPr>
          <w:ilvl w:val="0"/>
          <w:numId w:val="2"/>
        </w:numPr>
        <w:rPr>
          <w:b/>
          <w:u w:val="single"/>
        </w:rPr>
      </w:pPr>
      <w:r w:rsidRPr="002E15E2">
        <w:rPr>
          <w:b/>
          <w:u w:val="single"/>
        </w:rPr>
        <w:t>Diagramme</w:t>
      </w:r>
      <w:r w:rsidRPr="002E15E2">
        <w:rPr>
          <w:b/>
          <w:u w:val="single"/>
        </w:rPr>
        <w:t>s</w:t>
      </w:r>
      <w:r w:rsidRPr="002E15E2">
        <w:rPr>
          <w:b/>
          <w:u w:val="single"/>
        </w:rPr>
        <w:t xml:space="preserve"> </w:t>
      </w:r>
      <w:r w:rsidRPr="002E15E2">
        <w:rPr>
          <w:b/>
          <w:u w:val="single"/>
        </w:rPr>
        <w:t>conjoints</w:t>
      </w:r>
      <w:r w:rsidRPr="002E15E2">
        <w:rPr>
          <w:b/>
          <w:u w:val="single"/>
        </w:rPr>
        <w:t xml:space="preserve"> des études sur le Paludisme par région (</w:t>
      </w:r>
      <w:r w:rsidRPr="002E15E2">
        <w:rPr>
          <w:b/>
          <w:u w:val="single"/>
        </w:rPr>
        <w:t>sans</w:t>
      </w:r>
      <w:r w:rsidRPr="002E15E2">
        <w:rPr>
          <w:b/>
          <w:u w:val="single"/>
        </w:rPr>
        <w:t xml:space="preserve"> V6)</w:t>
      </w:r>
      <w:r w:rsidRPr="002E15E2">
        <w:rPr>
          <w:b/>
        </w:rPr>
        <w:t> :</w:t>
      </w:r>
    </w:p>
    <w:p w:rsidR="00843D14" w:rsidRDefault="00843D14" w:rsidP="00843D14">
      <w:pPr>
        <w:rPr>
          <w:b/>
          <w:u w:val="single"/>
        </w:rPr>
      </w:pPr>
      <w:r w:rsidRPr="00843D14">
        <w:rPr>
          <w:b/>
          <w:noProof/>
          <w:lang w:eastAsia="fr-FR"/>
        </w:rPr>
        <w:lastRenderedPageBreak/>
        <w:drawing>
          <wp:inline distT="0" distB="0" distL="0" distR="0">
            <wp:extent cx="5760720" cy="2888615"/>
            <wp:effectExtent l="0" t="0" r="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me récapitulatif des études strictes sur le Paludisme.png"/>
                    <pic:cNvPicPr/>
                  </pic:nvPicPr>
                  <pic:blipFill>
                    <a:blip r:embed="rId7">
                      <a:extLst>
                        <a:ext uri="{28A0092B-C50C-407E-A947-70E740481C1C}">
                          <a14:useLocalDpi xmlns:a14="http://schemas.microsoft.com/office/drawing/2010/main" val="0"/>
                        </a:ext>
                      </a:extLst>
                    </a:blip>
                    <a:stretch>
                      <a:fillRect/>
                    </a:stretch>
                  </pic:blipFill>
                  <pic:spPr>
                    <a:xfrm>
                      <a:off x="0" y="0"/>
                      <a:ext cx="5760720" cy="2888615"/>
                    </a:xfrm>
                    <a:prstGeom prst="rect">
                      <a:avLst/>
                    </a:prstGeom>
                  </pic:spPr>
                </pic:pic>
              </a:graphicData>
            </a:graphic>
          </wp:inline>
        </w:drawing>
      </w:r>
    </w:p>
    <w:p w:rsidR="00843D14" w:rsidRDefault="00843D14" w:rsidP="00843D14">
      <w:pPr>
        <w:rPr>
          <w:b/>
          <w:u w:val="single"/>
        </w:rPr>
      </w:pPr>
      <w:r>
        <w:rPr>
          <w:b/>
          <w:u w:val="single"/>
        </w:rPr>
        <w:t>Interprétation :</w:t>
      </w:r>
    </w:p>
    <w:p w:rsidR="00843D14" w:rsidRDefault="00843D14" w:rsidP="00843D14">
      <w:r>
        <w:t xml:space="preserve">Ce diagramme la distribution des </w:t>
      </w:r>
      <w:r w:rsidRPr="00C44179">
        <w:rPr>
          <w:color w:val="0070C0"/>
        </w:rPr>
        <w:t>cas suspects (bleu)</w:t>
      </w:r>
      <w:r>
        <w:t xml:space="preserve">, des </w:t>
      </w:r>
      <w:r w:rsidRPr="00C44179">
        <w:rPr>
          <w:color w:val="BF8F00" w:themeColor="accent4" w:themeShade="BF"/>
        </w:rPr>
        <w:t>tests TDR (jaune)</w:t>
      </w:r>
      <w:r>
        <w:t xml:space="preserve"> et des </w:t>
      </w:r>
      <w:r w:rsidR="00C44179" w:rsidRPr="00C44179">
        <w:rPr>
          <w:color w:val="C00000"/>
        </w:rPr>
        <w:t>cas positifs au paludisme</w:t>
      </w:r>
      <w:r w:rsidR="00C44179">
        <w:rPr>
          <w:color w:val="C00000"/>
        </w:rPr>
        <w:t xml:space="preserve"> (rouge)</w:t>
      </w:r>
      <w:r w:rsidR="00C44179" w:rsidRPr="00C44179">
        <w:rPr>
          <w:color w:val="C00000"/>
        </w:rPr>
        <w:t xml:space="preserve"> </w:t>
      </w:r>
      <w:r w:rsidR="00C44179">
        <w:t>par régions.</w:t>
      </w:r>
    </w:p>
    <w:p w:rsidR="00C44179" w:rsidRDefault="00C44179" w:rsidP="00843D14">
      <w:r>
        <w:t>Les données montrent que dans chaque régions seulement une petite partie des cas suspects n’ont pas subits les tests TDR. Voir tableau(…)</w:t>
      </w:r>
    </w:p>
    <w:p w:rsidR="00C44179" w:rsidRDefault="00C44179" w:rsidP="00843D14">
      <w:r>
        <w:t xml:space="preserve">Pour ce que qui des cas de paludisme nous nous intéresseront au graphique </w:t>
      </w:r>
      <w:r w:rsidR="002E15E2">
        <w:t>qui établisse</w:t>
      </w:r>
      <w:r>
        <w:t>nt  le</w:t>
      </w:r>
      <w:r w:rsidR="002E15E2">
        <w:t>s</w:t>
      </w:r>
      <w:r>
        <w:t xml:space="preserve"> rapport</w:t>
      </w:r>
      <w:r w:rsidR="002E15E2">
        <w:t>s</w:t>
      </w:r>
      <w:r>
        <w:t xml:space="preserve"> des tests positifs sur les tests réalisés par région.</w:t>
      </w:r>
    </w:p>
    <w:p w:rsidR="00C44179" w:rsidRPr="002E15E2" w:rsidRDefault="00C44179" w:rsidP="002E15E2">
      <w:pPr>
        <w:pStyle w:val="Paragraphedeliste"/>
        <w:numPr>
          <w:ilvl w:val="0"/>
          <w:numId w:val="2"/>
        </w:numPr>
        <w:rPr>
          <w:b/>
          <w:u w:val="single"/>
        </w:rPr>
      </w:pPr>
      <w:r w:rsidRPr="002E15E2">
        <w:rPr>
          <w:b/>
          <w:u w:val="single"/>
        </w:rPr>
        <w:t>Graphique du rapport cas de malaria – tests TDR par région :</w:t>
      </w:r>
    </w:p>
    <w:p w:rsidR="002B7F01" w:rsidRDefault="00FB4E5A" w:rsidP="00843D14">
      <w:r>
        <w:rPr>
          <w:noProof/>
          <w:lang w:eastAsia="fr-FR"/>
        </w:rPr>
        <w:drawing>
          <wp:inline distT="0" distB="0" distL="0" distR="0">
            <wp:extent cx="5760720" cy="2888615"/>
            <wp:effectExtent l="0" t="0" r="0" b="698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stribution des TPP en fonction des régions.png"/>
                    <pic:cNvPicPr/>
                  </pic:nvPicPr>
                  <pic:blipFill>
                    <a:blip r:embed="rId8">
                      <a:extLst>
                        <a:ext uri="{28A0092B-C50C-407E-A947-70E740481C1C}">
                          <a14:useLocalDpi xmlns:a14="http://schemas.microsoft.com/office/drawing/2010/main" val="0"/>
                        </a:ext>
                      </a:extLst>
                    </a:blip>
                    <a:stretch>
                      <a:fillRect/>
                    </a:stretch>
                  </pic:blipFill>
                  <pic:spPr>
                    <a:xfrm>
                      <a:off x="0" y="0"/>
                      <a:ext cx="5760720" cy="2888615"/>
                    </a:xfrm>
                    <a:prstGeom prst="rect">
                      <a:avLst/>
                    </a:prstGeom>
                  </pic:spPr>
                </pic:pic>
              </a:graphicData>
            </a:graphic>
          </wp:inline>
        </w:drawing>
      </w:r>
    </w:p>
    <w:p w:rsidR="00132CE3" w:rsidRDefault="00132CE3" w:rsidP="00843D14">
      <w:pPr>
        <w:rPr>
          <w:b/>
          <w:u w:val="single"/>
        </w:rPr>
      </w:pPr>
      <w:r>
        <w:rPr>
          <w:b/>
          <w:u w:val="single"/>
        </w:rPr>
        <w:t>Interprétations :</w:t>
      </w:r>
    </w:p>
    <w:p w:rsidR="00132CE3" w:rsidRDefault="00132CE3" w:rsidP="00843D14">
      <w:r>
        <w:t xml:space="preserve">Les données montrent que </w:t>
      </w:r>
      <w:r w:rsidR="00FB4E5A">
        <w:t>les régions de Kédougou, Kolda  et Tambacounda présentent les plus forts taux de tests positifs moyens entre 2009 et 2022</w:t>
      </w:r>
      <w:r w:rsidR="00E049DC">
        <w:t>. Les résultats s’étalent ainsi :</w:t>
      </w:r>
      <w:r w:rsidR="00FB4E5A">
        <w:t xml:space="preserve"> 57,4% </w:t>
      </w:r>
      <w:r w:rsidR="00E049DC">
        <w:t>des tests positifs à Kédougou</w:t>
      </w:r>
      <w:r w:rsidR="00714396">
        <w:t> ;</w:t>
      </w:r>
      <w:r w:rsidR="00E049DC">
        <w:t xml:space="preserve"> 5</w:t>
      </w:r>
      <w:r w:rsidR="00714396">
        <w:t>0,7</w:t>
      </w:r>
      <w:r w:rsidR="00E049DC">
        <w:t>% à Kolda et 43,8% à Tambacounda.</w:t>
      </w:r>
    </w:p>
    <w:p w:rsidR="00E049DC" w:rsidRDefault="006D1109" w:rsidP="00843D14">
      <w:r>
        <w:lastRenderedPageBreak/>
        <w:t xml:space="preserve">Ces régions sont suivies par les régions de Diourbel,  Kaolack et Sédhiou ou les taux de positivités des tests s’étalent respectivement à </w:t>
      </w:r>
      <w:r w:rsidRPr="006D1109">
        <w:t>25,6%</w:t>
      </w:r>
      <w:r>
        <w:t> ;</w:t>
      </w:r>
      <w:r w:rsidR="00714396">
        <w:t xml:space="preserve"> 24,2</w:t>
      </w:r>
      <w:r>
        <w:t xml:space="preserve">% et </w:t>
      </w:r>
      <w:r w:rsidR="00714396">
        <w:t>18,2</w:t>
      </w:r>
      <w:r>
        <w:t>%.</w:t>
      </w:r>
    </w:p>
    <w:p w:rsidR="006D1109" w:rsidRDefault="006D1109" w:rsidP="00843D14">
      <w:r>
        <w:t xml:space="preserve">Ensuite, nous avons les régions de Dakar, Kaffrine, Matam, Fatick, Thiès et Ziguinchor les résultats étalent entre 14,6% et 11,9%. </w:t>
      </w:r>
    </w:p>
    <w:p w:rsidR="006D1109" w:rsidRPr="006D1109" w:rsidRDefault="006D1109" w:rsidP="00843D14">
      <w:r>
        <w:t xml:space="preserve">Enfin les </w:t>
      </w:r>
      <w:r w:rsidR="00714396">
        <w:t>régions</w:t>
      </w:r>
      <w:r>
        <w:t xml:space="preserve"> de Louga et Saint-Louis </w:t>
      </w:r>
      <w:r w:rsidR="00714396">
        <w:t>présentent</w:t>
      </w:r>
      <w:r>
        <w:t xml:space="preserve"> les plus faibles taux de </w:t>
      </w:r>
      <w:r w:rsidR="00714396">
        <w:t>positivités</w:t>
      </w:r>
      <w:r>
        <w:t xml:space="preserve"> avec respectivement </w:t>
      </w:r>
      <w:r w:rsidR="00714396">
        <w:t xml:space="preserve">5,31% et 2,73%. </w:t>
      </w:r>
    </w:p>
    <w:p w:rsidR="002E15E2" w:rsidRDefault="002E15E2" w:rsidP="002E15E2">
      <w:pPr>
        <w:pStyle w:val="Paragraphedeliste"/>
        <w:numPr>
          <w:ilvl w:val="0"/>
          <w:numId w:val="6"/>
        </w:numPr>
        <w:rPr>
          <w:b/>
          <w:u w:val="single"/>
        </w:rPr>
      </w:pPr>
      <w:r w:rsidRPr="002E15E2">
        <w:rPr>
          <w:b/>
          <w:u w:val="single"/>
        </w:rPr>
        <w:t>Suivant les mois :</w:t>
      </w:r>
    </w:p>
    <w:p w:rsidR="002E15E2" w:rsidRPr="002E15E2" w:rsidRDefault="002E15E2" w:rsidP="002E15E2">
      <w:pPr>
        <w:pStyle w:val="Paragraphedeliste"/>
        <w:numPr>
          <w:ilvl w:val="0"/>
          <w:numId w:val="2"/>
        </w:numPr>
        <w:rPr>
          <w:b/>
          <w:u w:val="single"/>
        </w:rPr>
      </w:pPr>
      <w:r w:rsidRPr="002E15E2">
        <w:rPr>
          <w:b/>
          <w:u w:val="single"/>
        </w:rPr>
        <w:t xml:space="preserve">Diagrammes conjoints des études sur le Paludisme par </w:t>
      </w:r>
      <w:r>
        <w:rPr>
          <w:b/>
          <w:u w:val="single"/>
        </w:rPr>
        <w:t>mois</w:t>
      </w:r>
      <w:r w:rsidRPr="002E15E2">
        <w:rPr>
          <w:b/>
          <w:u w:val="single"/>
        </w:rPr>
        <w:t xml:space="preserve"> (incluant V6)</w:t>
      </w:r>
      <w:r w:rsidRPr="002E15E2">
        <w:rPr>
          <w:b/>
        </w:rPr>
        <w:t> :</w:t>
      </w:r>
    </w:p>
    <w:p w:rsidR="002E15E2" w:rsidRPr="002E15E2" w:rsidRDefault="002E15E2" w:rsidP="002E15E2">
      <w:pPr>
        <w:rPr>
          <w:b/>
          <w:u w:val="single"/>
        </w:rPr>
      </w:pPr>
      <w:r w:rsidRPr="002E15E2">
        <w:rPr>
          <w:b/>
          <w:noProof/>
          <w:lang w:eastAsia="fr-FR"/>
        </w:rPr>
        <w:drawing>
          <wp:inline distT="0" distB="0" distL="0" distR="0">
            <wp:extent cx="5760720" cy="2888615"/>
            <wp:effectExtent l="0" t="0" r="0" b="698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ramme récapitulatif des études sur le Paludisme par mois.png"/>
                    <pic:cNvPicPr/>
                  </pic:nvPicPr>
                  <pic:blipFill>
                    <a:blip r:embed="rId9">
                      <a:extLst>
                        <a:ext uri="{28A0092B-C50C-407E-A947-70E740481C1C}">
                          <a14:useLocalDpi xmlns:a14="http://schemas.microsoft.com/office/drawing/2010/main" val="0"/>
                        </a:ext>
                      </a:extLst>
                    </a:blip>
                    <a:stretch>
                      <a:fillRect/>
                    </a:stretch>
                  </pic:blipFill>
                  <pic:spPr>
                    <a:xfrm>
                      <a:off x="0" y="0"/>
                      <a:ext cx="5760720" cy="2888615"/>
                    </a:xfrm>
                    <a:prstGeom prst="rect">
                      <a:avLst/>
                    </a:prstGeom>
                  </pic:spPr>
                </pic:pic>
              </a:graphicData>
            </a:graphic>
          </wp:inline>
        </w:drawing>
      </w:r>
    </w:p>
    <w:p w:rsidR="002E15E2" w:rsidRDefault="002E15E2" w:rsidP="002E15E2">
      <w:r>
        <w:rPr>
          <w:b/>
          <w:u w:val="single"/>
        </w:rPr>
        <w:t>Remarque</w:t>
      </w:r>
      <w:r>
        <w:rPr>
          <w:b/>
        </w:rPr>
        <w:t xml:space="preserve"> : </w:t>
      </w:r>
      <w:r>
        <w:t xml:space="preserve">Ce graphique </w:t>
      </w:r>
      <w:r>
        <w:t>résume</w:t>
      </w:r>
      <w:r>
        <w:t xml:space="preserve"> le poids de</w:t>
      </w:r>
      <w:r>
        <w:t>s consultations sur</w:t>
      </w:r>
      <w:r>
        <w:t xml:space="preserve"> la malaria </w:t>
      </w:r>
      <w:r>
        <w:t>par rapport</w:t>
      </w:r>
      <w:r>
        <w:t xml:space="preserve"> </w:t>
      </w:r>
      <w:r>
        <w:t>aux</w:t>
      </w:r>
      <w:r>
        <w:t xml:space="preserve"> consultations toutes causes confondues</w:t>
      </w:r>
      <w:r>
        <w:t>.</w:t>
      </w:r>
    </w:p>
    <w:p w:rsidR="002E15E2" w:rsidRDefault="002E15E2" w:rsidP="002E15E2">
      <w:r>
        <w:t xml:space="preserve">Globalement le poids </w:t>
      </w:r>
      <w:r w:rsidR="00245EEB">
        <w:t xml:space="preserve">des </w:t>
      </w:r>
      <w:r>
        <w:t xml:space="preserve">consultants pour la malaria </w:t>
      </w:r>
      <w:r w:rsidR="00245EEB">
        <w:t>est</w:t>
      </w:r>
      <w:r>
        <w:t xml:space="preserve"> modeste </w:t>
      </w:r>
      <w:r w:rsidR="00245EEB">
        <w:t>sur</w:t>
      </w:r>
      <w:r>
        <w:t xml:space="preserve"> plateau de recensement des consultants</w:t>
      </w:r>
      <w:r w:rsidR="00245EEB">
        <w:t xml:space="preserve"> toutes causes</w:t>
      </w:r>
      <w:r>
        <w:t xml:space="preserve">. Aussi les données montre les consultations médicales sont plus importantes </w:t>
      </w:r>
      <w:r w:rsidR="00245EEB">
        <w:t>lors des mois d’août, septembre, octobre et novembre par rapport aux autres mois.</w:t>
      </w:r>
    </w:p>
    <w:p w:rsidR="00245EEB" w:rsidRDefault="004C4540" w:rsidP="002E15E2">
      <w:r w:rsidRPr="004C4540">
        <w:t xml:space="preserve">S’agissant des cas autres aspects </w:t>
      </w:r>
      <w:r>
        <w:t>visualisons le graphique ci-dessous :</w:t>
      </w:r>
    </w:p>
    <w:p w:rsidR="004C4540" w:rsidRPr="002E15E2" w:rsidRDefault="004C4540" w:rsidP="004C4540">
      <w:pPr>
        <w:pStyle w:val="Paragraphedeliste"/>
        <w:numPr>
          <w:ilvl w:val="0"/>
          <w:numId w:val="2"/>
        </w:numPr>
        <w:rPr>
          <w:b/>
          <w:u w:val="single"/>
        </w:rPr>
      </w:pPr>
      <w:r w:rsidRPr="002E15E2">
        <w:rPr>
          <w:b/>
          <w:u w:val="single"/>
        </w:rPr>
        <w:t xml:space="preserve">Diagrammes conjoints des études sur le Paludisme par </w:t>
      </w:r>
      <w:r>
        <w:rPr>
          <w:b/>
          <w:u w:val="single"/>
        </w:rPr>
        <w:t>mois</w:t>
      </w:r>
      <w:r w:rsidRPr="002E15E2">
        <w:rPr>
          <w:b/>
          <w:u w:val="single"/>
        </w:rPr>
        <w:t xml:space="preserve"> (sans V6)</w:t>
      </w:r>
      <w:r w:rsidRPr="002E15E2">
        <w:rPr>
          <w:b/>
        </w:rPr>
        <w:t> :</w:t>
      </w:r>
    </w:p>
    <w:p w:rsidR="004C4540" w:rsidRPr="004C4540" w:rsidRDefault="004C4540" w:rsidP="002E15E2">
      <w:r>
        <w:rPr>
          <w:noProof/>
          <w:lang w:eastAsia="fr-FR"/>
        </w:rPr>
        <w:lastRenderedPageBreak/>
        <w:drawing>
          <wp:inline distT="0" distB="0" distL="0" distR="0">
            <wp:extent cx="5760720" cy="2888615"/>
            <wp:effectExtent l="0" t="0" r="0" b="698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me récapitulatif des études strictes sur le Paludisme par mois.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2888615"/>
                    </a:xfrm>
                    <a:prstGeom prst="rect">
                      <a:avLst/>
                    </a:prstGeom>
                  </pic:spPr>
                </pic:pic>
              </a:graphicData>
            </a:graphic>
          </wp:inline>
        </w:drawing>
      </w:r>
    </w:p>
    <w:p w:rsidR="004C4540" w:rsidRDefault="004C4540" w:rsidP="004C4540">
      <w:pPr>
        <w:rPr>
          <w:b/>
          <w:u w:val="single"/>
        </w:rPr>
      </w:pPr>
      <w:r>
        <w:rPr>
          <w:b/>
          <w:u w:val="single"/>
        </w:rPr>
        <w:t>Interprétation :</w:t>
      </w:r>
    </w:p>
    <w:p w:rsidR="004C4540" w:rsidRDefault="004C4540" w:rsidP="004C4540">
      <w:r>
        <w:t xml:space="preserve">Ce diagramme la distribution des </w:t>
      </w:r>
      <w:r w:rsidRPr="00C44179">
        <w:rPr>
          <w:color w:val="0070C0"/>
        </w:rPr>
        <w:t>cas suspects (bleu)</w:t>
      </w:r>
      <w:r>
        <w:t xml:space="preserve">, des </w:t>
      </w:r>
      <w:r w:rsidRPr="00C44179">
        <w:rPr>
          <w:color w:val="BF8F00" w:themeColor="accent4" w:themeShade="BF"/>
        </w:rPr>
        <w:t>tests TDR (jaune)</w:t>
      </w:r>
      <w:r>
        <w:t xml:space="preserve"> et des </w:t>
      </w:r>
      <w:r w:rsidRPr="00C44179">
        <w:rPr>
          <w:color w:val="C00000"/>
        </w:rPr>
        <w:t>cas positifs au paludisme</w:t>
      </w:r>
      <w:r>
        <w:rPr>
          <w:color w:val="C00000"/>
        </w:rPr>
        <w:t xml:space="preserve"> (rouge)</w:t>
      </w:r>
      <w:r w:rsidRPr="00C44179">
        <w:rPr>
          <w:color w:val="C00000"/>
        </w:rPr>
        <w:t xml:space="preserve"> </w:t>
      </w:r>
      <w:r>
        <w:t>en suivant les mois</w:t>
      </w:r>
      <w:r>
        <w:t>.</w:t>
      </w:r>
      <w:r w:rsidR="0092104C">
        <w:t xml:space="preserve"> Les barres des tests TRD et des cas suspects présentent des différences légères.</w:t>
      </w:r>
    </w:p>
    <w:p w:rsidR="0092104C" w:rsidRDefault="004C4540" w:rsidP="004C4540">
      <w:r>
        <w:t xml:space="preserve">Les données montrent </w:t>
      </w:r>
      <w:r w:rsidR="0092104C">
        <w:t>pour la période couvrant les mois d</w:t>
      </w:r>
      <w:r w:rsidR="00BC794D">
        <w:t xml:space="preserve">e </w:t>
      </w:r>
      <w:r w:rsidR="00BC794D">
        <w:rPr>
          <w:b/>
        </w:rPr>
        <w:t xml:space="preserve">mars, </w:t>
      </w:r>
      <w:r w:rsidR="0092104C" w:rsidRPr="0092104C">
        <w:rPr>
          <w:b/>
        </w:rPr>
        <w:t>avril, mai, juin</w:t>
      </w:r>
      <w:r w:rsidR="0092104C">
        <w:t xml:space="preserve"> une baisse significative des cas paludisme, de même que des cas suspectés de malaria. </w:t>
      </w:r>
    </w:p>
    <w:p w:rsidR="0092104C" w:rsidRPr="00BC794D" w:rsidRDefault="0092104C" w:rsidP="004C4540">
      <w:r>
        <w:t xml:space="preserve">Dès le </w:t>
      </w:r>
      <w:r w:rsidRPr="0092104C">
        <w:t xml:space="preserve">mois de </w:t>
      </w:r>
      <w:r w:rsidR="00BC794D">
        <w:rPr>
          <w:b/>
        </w:rPr>
        <w:t>juillet</w:t>
      </w:r>
      <w:r w:rsidRPr="0092104C">
        <w:t xml:space="preserve">, </w:t>
      </w:r>
      <w:r w:rsidR="00B56B16">
        <w:t>l</w:t>
      </w:r>
      <w:r w:rsidRPr="0092104C">
        <w:t>es</w:t>
      </w:r>
      <w:r>
        <w:t xml:space="preserve"> cas suspects ainsi que des tests positifs </w:t>
      </w:r>
      <w:r w:rsidR="00B56B16">
        <w:t xml:space="preserve">commencent à augmenter </w:t>
      </w:r>
      <w:r>
        <w:t>jusqu’au mois de d’</w:t>
      </w:r>
      <w:r w:rsidRPr="00B56B16">
        <w:rPr>
          <w:b/>
        </w:rPr>
        <w:t>octobre</w:t>
      </w:r>
      <w:r>
        <w:t xml:space="preserve"> </w:t>
      </w:r>
      <w:r w:rsidR="00B56B16">
        <w:t>où</w:t>
      </w:r>
      <w:r w:rsidR="00BC794D">
        <w:t xml:space="preserve"> ils</w:t>
      </w:r>
      <w:r>
        <w:t xml:space="preserve"> </w:t>
      </w:r>
      <w:r w:rsidR="00BC794D">
        <w:t>atteignent des</w:t>
      </w:r>
      <w:r>
        <w:t xml:space="preserve"> pique</w:t>
      </w:r>
      <w:r w:rsidR="00BC794D">
        <w:t>s</w:t>
      </w:r>
      <w:r>
        <w:t>.</w:t>
      </w:r>
      <w:r w:rsidR="00B56B16">
        <w:t xml:space="preserve"> Après ce mois d’</w:t>
      </w:r>
      <w:r w:rsidR="00B56B16">
        <w:rPr>
          <w:b/>
        </w:rPr>
        <w:t>octobre</w:t>
      </w:r>
      <w:r w:rsidR="00B56B16">
        <w:t xml:space="preserve">, les cas suspects ainsi que les tests positifs régressent jusqu’à atteindre ses points les plus bas aux  mois de </w:t>
      </w:r>
      <w:r w:rsidR="00BC794D" w:rsidRPr="00BC794D">
        <w:rPr>
          <w:b/>
        </w:rPr>
        <w:t>février</w:t>
      </w:r>
      <w:r w:rsidR="00B56B16" w:rsidRPr="00BC794D">
        <w:rPr>
          <w:b/>
        </w:rPr>
        <w:t>, mars</w:t>
      </w:r>
      <w:r w:rsidR="00BC794D" w:rsidRPr="00BC794D">
        <w:rPr>
          <w:b/>
        </w:rPr>
        <w:t xml:space="preserve"> et av</w:t>
      </w:r>
      <w:r w:rsidR="00BC794D">
        <w:rPr>
          <w:b/>
        </w:rPr>
        <w:t>r</w:t>
      </w:r>
      <w:r w:rsidR="00BC794D" w:rsidRPr="00BC794D">
        <w:rPr>
          <w:b/>
        </w:rPr>
        <w:t>il</w:t>
      </w:r>
      <w:r w:rsidR="00BC794D">
        <w:t>.</w:t>
      </w:r>
    </w:p>
    <w:p w:rsidR="002E15E2" w:rsidRDefault="00C727E6" w:rsidP="002E15E2">
      <w:pPr>
        <w:rPr>
          <w:b/>
          <w:u w:val="single"/>
        </w:rPr>
      </w:pPr>
      <w:r>
        <w:rPr>
          <w:b/>
          <w:u w:val="single"/>
        </w:rPr>
        <w:t>Tableau des valeurs : (pertinent)</w:t>
      </w:r>
    </w:p>
    <w:p w:rsidR="00522104" w:rsidRDefault="00522104" w:rsidP="002E15E2">
      <w:pPr>
        <w:rPr>
          <w:b/>
          <w:u w:val="single"/>
        </w:rPr>
      </w:pPr>
    </w:p>
    <w:p w:rsidR="00522104" w:rsidRPr="00522104" w:rsidRDefault="00522104" w:rsidP="00522104">
      <w:pPr>
        <w:pStyle w:val="Paragraphedeliste"/>
        <w:numPr>
          <w:ilvl w:val="0"/>
          <w:numId w:val="6"/>
        </w:numPr>
        <w:rPr>
          <w:b/>
          <w:u w:val="single"/>
        </w:rPr>
      </w:pPr>
      <w:r>
        <w:rPr>
          <w:b/>
          <w:u w:val="single"/>
        </w:rPr>
        <w:t>S</w:t>
      </w:r>
      <w:r w:rsidRPr="00522104">
        <w:rPr>
          <w:b/>
          <w:u w:val="single"/>
        </w:rPr>
        <w:t>uivant les mois :</w:t>
      </w:r>
    </w:p>
    <w:p w:rsidR="00522104" w:rsidRPr="00522104" w:rsidRDefault="00522104" w:rsidP="00522104">
      <w:pPr>
        <w:pStyle w:val="Paragraphedeliste"/>
        <w:numPr>
          <w:ilvl w:val="0"/>
          <w:numId w:val="2"/>
        </w:numPr>
        <w:rPr>
          <w:b/>
          <w:u w:val="single"/>
        </w:rPr>
      </w:pPr>
      <w:r w:rsidRPr="00522104">
        <w:rPr>
          <w:b/>
          <w:u w:val="single"/>
        </w:rPr>
        <w:t>Diagrammes conjoints des études sur le Paludisme</w:t>
      </w:r>
      <w:r>
        <w:rPr>
          <w:b/>
          <w:u w:val="single"/>
        </w:rPr>
        <w:t xml:space="preserve"> suivant les années</w:t>
      </w:r>
      <w:r w:rsidRPr="00522104">
        <w:rPr>
          <w:b/>
          <w:u w:val="single"/>
        </w:rPr>
        <w:t xml:space="preserve"> (</w:t>
      </w:r>
      <w:r>
        <w:rPr>
          <w:b/>
          <w:u w:val="single"/>
        </w:rPr>
        <w:t>sans</w:t>
      </w:r>
      <w:r w:rsidRPr="00522104">
        <w:rPr>
          <w:b/>
          <w:u w:val="single"/>
        </w:rPr>
        <w:t xml:space="preserve"> V6)</w:t>
      </w:r>
      <w:r w:rsidRPr="00522104">
        <w:rPr>
          <w:b/>
        </w:rPr>
        <w:t> :</w:t>
      </w:r>
    </w:p>
    <w:p w:rsidR="00522104" w:rsidRDefault="00522104" w:rsidP="00522104">
      <w:pPr>
        <w:rPr>
          <w:b/>
          <w:u w:val="single"/>
        </w:rPr>
      </w:pPr>
      <w:r w:rsidRPr="00522104">
        <w:rPr>
          <w:b/>
          <w:noProof/>
          <w:lang w:eastAsia="fr-FR"/>
        </w:rPr>
        <w:lastRenderedPageBreak/>
        <w:drawing>
          <wp:inline distT="0" distB="0" distL="0" distR="0">
            <wp:extent cx="5760720" cy="2888615"/>
            <wp:effectExtent l="0" t="0" r="0" b="698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agramme récapitulatif en fonction des années.png"/>
                    <pic:cNvPicPr/>
                  </pic:nvPicPr>
                  <pic:blipFill>
                    <a:blip r:embed="rId11">
                      <a:extLst>
                        <a:ext uri="{28A0092B-C50C-407E-A947-70E740481C1C}">
                          <a14:useLocalDpi xmlns:a14="http://schemas.microsoft.com/office/drawing/2010/main" val="0"/>
                        </a:ext>
                      </a:extLst>
                    </a:blip>
                    <a:stretch>
                      <a:fillRect/>
                    </a:stretch>
                  </pic:blipFill>
                  <pic:spPr>
                    <a:xfrm>
                      <a:off x="0" y="0"/>
                      <a:ext cx="5760720" cy="2888615"/>
                    </a:xfrm>
                    <a:prstGeom prst="rect">
                      <a:avLst/>
                    </a:prstGeom>
                  </pic:spPr>
                </pic:pic>
              </a:graphicData>
            </a:graphic>
          </wp:inline>
        </w:drawing>
      </w:r>
    </w:p>
    <w:p w:rsidR="00522104" w:rsidRDefault="00522104" w:rsidP="00522104">
      <w:pPr>
        <w:rPr>
          <w:b/>
          <w:u w:val="single"/>
        </w:rPr>
      </w:pPr>
      <w:r>
        <w:rPr>
          <w:b/>
          <w:u w:val="single"/>
        </w:rPr>
        <w:t>Interprétation :</w:t>
      </w:r>
    </w:p>
    <w:p w:rsidR="00CA7CBA" w:rsidRDefault="00522104" w:rsidP="00522104">
      <w:r>
        <w:t xml:space="preserve">Suivant les </w:t>
      </w:r>
      <w:r w:rsidR="00C730CC">
        <w:t>années</w:t>
      </w:r>
      <w:r>
        <w:t xml:space="preserve">, le nombre de cas de paludisme ne semble augmenter que légèrement d’où la raison de cette </w:t>
      </w:r>
      <w:r w:rsidR="00C730CC">
        <w:t>faible asymétrie</w:t>
      </w:r>
      <w:r>
        <w:t xml:space="preserve"> </w:t>
      </w:r>
      <w:r w:rsidR="00C730CC">
        <w:t xml:space="preserve">à droite (la moyenne est supérieure </w:t>
      </w:r>
      <w:r w:rsidR="00E570D5">
        <w:t>à</w:t>
      </w:r>
      <w:r w:rsidR="00C730CC">
        <w:t xml:space="preserve"> la médiane). Toutefois</w:t>
      </w:r>
      <w:r w:rsidR="00CA7CBA">
        <w:t xml:space="preserve"> nous emmétrons une remarque importante.</w:t>
      </w:r>
    </w:p>
    <w:p w:rsidR="00CA7CBA" w:rsidRDefault="00CA7CBA" w:rsidP="00522104">
      <w:r>
        <w:t xml:space="preserve">Une évolution significative est remarquée sur les cas suspects et les tests TDR réalisés. Cette évolution passe en moyenne de moins 4000 cas suspects et tests réalisés en 2009, dans toutes les régions confondues à près de 16.000 cas suspects et tests réalisés. Ce qui pourrait </w:t>
      </w:r>
      <w:r w:rsidR="00E570D5">
        <w:t>être</w:t>
      </w:r>
      <w:r>
        <w:t xml:space="preserve"> explique par l’</w:t>
      </w:r>
      <w:r w:rsidR="00E570D5">
        <w:t>évolution</w:t>
      </w:r>
      <w:r>
        <w:t xml:space="preserve"> de la couverture </w:t>
      </w:r>
      <w:r w:rsidR="00E570D5">
        <w:t xml:space="preserve">et des offres en services </w:t>
      </w:r>
      <w:r>
        <w:t>sanitaire</w:t>
      </w:r>
      <w:r w:rsidR="00E570D5">
        <w:t>s</w:t>
      </w:r>
      <w:r>
        <w:t xml:space="preserve"> dans le pays, surtout à Dakar et Kolda et Tambacounda comme l’on montre les graphiques en fonction des </w:t>
      </w:r>
      <w:r w:rsidR="00E570D5">
        <w:t>régions</w:t>
      </w:r>
      <w:r>
        <w:t>.</w:t>
      </w:r>
    </w:p>
    <w:p w:rsidR="00E570D5" w:rsidRDefault="00865DEC" w:rsidP="00522104">
      <w:r>
        <w:t>Cette</w:t>
      </w:r>
      <w:r w:rsidR="00E570D5">
        <w:t xml:space="preserve"> remarque est plus confortée par les résultats</w:t>
      </w:r>
      <w:r>
        <w:t xml:space="preserve"> du graphique</w:t>
      </w:r>
      <w:bookmarkStart w:id="0" w:name="_GoBack"/>
      <w:bookmarkEnd w:id="0"/>
      <w:r w:rsidR="00E570D5">
        <w:t xml:space="preserve"> ci-dessous.</w:t>
      </w:r>
    </w:p>
    <w:p w:rsidR="00E570D5" w:rsidRDefault="00E570D5" w:rsidP="00E570D5">
      <w:pPr>
        <w:pStyle w:val="Paragraphedeliste"/>
        <w:numPr>
          <w:ilvl w:val="0"/>
          <w:numId w:val="2"/>
        </w:numPr>
        <w:rPr>
          <w:b/>
          <w:u w:val="single"/>
        </w:rPr>
      </w:pPr>
      <w:r>
        <w:rPr>
          <w:b/>
          <w:u w:val="single"/>
        </w:rPr>
        <w:t>Distribution des TPP (taux de positivité parasitotologique) en fonction des années :</w:t>
      </w:r>
    </w:p>
    <w:p w:rsidR="00C7150F" w:rsidRDefault="00E570D5" w:rsidP="00E570D5">
      <w:pPr>
        <w:rPr>
          <w:b/>
          <w:u w:val="single"/>
        </w:rPr>
      </w:pPr>
      <w:r w:rsidRPr="00E570D5">
        <w:rPr>
          <w:b/>
          <w:noProof/>
          <w:lang w:eastAsia="fr-FR"/>
        </w:rPr>
        <w:drawing>
          <wp:inline distT="0" distB="0" distL="0" distR="0">
            <wp:extent cx="5760720" cy="2888615"/>
            <wp:effectExtent l="0" t="0" r="0" b="698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stribution des TPP en fonction des années.png"/>
                    <pic:cNvPicPr/>
                  </pic:nvPicPr>
                  <pic:blipFill>
                    <a:blip r:embed="rId12">
                      <a:extLst>
                        <a:ext uri="{28A0092B-C50C-407E-A947-70E740481C1C}">
                          <a14:useLocalDpi xmlns:a14="http://schemas.microsoft.com/office/drawing/2010/main" val="0"/>
                        </a:ext>
                      </a:extLst>
                    </a:blip>
                    <a:stretch>
                      <a:fillRect/>
                    </a:stretch>
                  </pic:blipFill>
                  <pic:spPr>
                    <a:xfrm>
                      <a:off x="0" y="0"/>
                      <a:ext cx="5760720" cy="2888615"/>
                    </a:xfrm>
                    <a:prstGeom prst="rect">
                      <a:avLst/>
                    </a:prstGeom>
                  </pic:spPr>
                </pic:pic>
              </a:graphicData>
            </a:graphic>
          </wp:inline>
        </w:drawing>
      </w:r>
    </w:p>
    <w:p w:rsidR="00E570D5" w:rsidRDefault="00E570D5" w:rsidP="00E570D5">
      <w:pPr>
        <w:rPr>
          <w:b/>
          <w:u w:val="single"/>
        </w:rPr>
      </w:pPr>
      <w:r>
        <w:rPr>
          <w:b/>
          <w:u w:val="single"/>
        </w:rPr>
        <w:t>Interprétation :</w:t>
      </w:r>
    </w:p>
    <w:p w:rsidR="00E570D5" w:rsidRDefault="00E570D5" w:rsidP="00E570D5">
      <w:r>
        <w:lastRenderedPageBreak/>
        <w:t xml:space="preserve">Le graphique montre une asymétrie à droite, ce qui en termes statistique signifie que la moyenne est à la médiane. </w:t>
      </w:r>
    </w:p>
    <w:p w:rsidR="00E570D5" w:rsidRPr="00E570D5" w:rsidRDefault="00E570D5" w:rsidP="00E570D5">
      <w:r>
        <w:t xml:space="preserve">Le graphique montre aussi que le taux de </w:t>
      </w:r>
      <w:r w:rsidR="00865DEC">
        <w:t>positivité</w:t>
      </w:r>
      <w:r>
        <w:t xml:space="preserve"> des tests TDR a tendance </w:t>
      </w:r>
      <w:r w:rsidR="00865DEC">
        <w:t>à</w:t>
      </w:r>
      <w:r>
        <w:t xml:space="preserve"> diminue</w:t>
      </w:r>
      <w:r w:rsidR="00865DEC">
        <w:t>r</w:t>
      </w:r>
      <w:r>
        <w:t xml:space="preserve"> au fil des </w:t>
      </w:r>
      <w:r w:rsidR="00865DEC">
        <w:t>années</w:t>
      </w:r>
      <w:r>
        <w:t xml:space="preserve">. Ce qui soutient </w:t>
      </w:r>
      <w:r w:rsidR="00865DEC">
        <w:t>plus les années passent plus la malaria semble être maitrisée si l’on tient compte de la population.</w:t>
      </w:r>
    </w:p>
    <w:p w:rsidR="00C7150F" w:rsidRPr="00865DEC" w:rsidRDefault="00C7150F" w:rsidP="00865DEC">
      <w:pPr>
        <w:rPr>
          <w:b/>
          <w:u w:val="single"/>
        </w:rPr>
      </w:pPr>
    </w:p>
    <w:sectPr w:rsidR="00C7150F" w:rsidRPr="00865DEC" w:rsidSect="003772B6">
      <w:pgSz w:w="11906" w:h="16838" w:code="9"/>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165991"/>
    <w:multiLevelType w:val="hybridMultilevel"/>
    <w:tmpl w:val="49E065AC"/>
    <w:lvl w:ilvl="0" w:tplc="4ACA9E52">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5925E9A"/>
    <w:multiLevelType w:val="hybridMultilevel"/>
    <w:tmpl w:val="473638D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6714CC5"/>
    <w:multiLevelType w:val="hybridMultilevel"/>
    <w:tmpl w:val="1E44948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C6708DD"/>
    <w:multiLevelType w:val="hybridMultilevel"/>
    <w:tmpl w:val="38C2D2C8"/>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nsid w:val="1BAA7B01"/>
    <w:multiLevelType w:val="hybridMultilevel"/>
    <w:tmpl w:val="89C017A2"/>
    <w:lvl w:ilvl="0" w:tplc="49862F80">
      <w:start w:val="1"/>
      <w:numFmt w:val="lowerLetter"/>
      <w:lvlText w:val="%1."/>
      <w:lvlJc w:val="left"/>
      <w:pPr>
        <w:ind w:left="720" w:hanging="360"/>
      </w:pPr>
      <w:rPr>
        <w:rFonts w:hint="default"/>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47E1E39"/>
    <w:multiLevelType w:val="hybridMultilevel"/>
    <w:tmpl w:val="A8764536"/>
    <w:lvl w:ilvl="0" w:tplc="C82609C8">
      <w:start w:val="1"/>
      <w:numFmt w:val="lowerLetter"/>
      <w:lvlText w:val="%1."/>
      <w:lvlJc w:val="left"/>
      <w:pPr>
        <w:ind w:left="720" w:hanging="360"/>
      </w:pPr>
      <w:rPr>
        <w:rFonts w:hint="default"/>
        <w:u w:val="none"/>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78077B9B"/>
    <w:multiLevelType w:val="hybridMultilevel"/>
    <w:tmpl w:val="C5469E78"/>
    <w:lvl w:ilvl="0" w:tplc="040C0015">
      <w:start w:val="3"/>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7D851BC4"/>
    <w:multiLevelType w:val="hybridMultilevel"/>
    <w:tmpl w:val="473638D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7"/>
  </w:num>
  <w:num w:numId="5">
    <w:abstractNumId w:val="2"/>
  </w:num>
  <w:num w:numId="6">
    <w:abstractNumId w:val="5"/>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1E3"/>
    <w:rsid w:val="000D1790"/>
    <w:rsid w:val="00107F25"/>
    <w:rsid w:val="00132CE3"/>
    <w:rsid w:val="001C1017"/>
    <w:rsid w:val="001D5F9F"/>
    <w:rsid w:val="002209CB"/>
    <w:rsid w:val="00245EEB"/>
    <w:rsid w:val="002949A3"/>
    <w:rsid w:val="002B7F01"/>
    <w:rsid w:val="002C0613"/>
    <w:rsid w:val="002E15E2"/>
    <w:rsid w:val="003772B6"/>
    <w:rsid w:val="004C4540"/>
    <w:rsid w:val="00522104"/>
    <w:rsid w:val="006D1109"/>
    <w:rsid w:val="00714396"/>
    <w:rsid w:val="00843D14"/>
    <w:rsid w:val="00865DEC"/>
    <w:rsid w:val="008C16B3"/>
    <w:rsid w:val="0092104C"/>
    <w:rsid w:val="009524FA"/>
    <w:rsid w:val="0099609B"/>
    <w:rsid w:val="00B56B16"/>
    <w:rsid w:val="00BC794D"/>
    <w:rsid w:val="00C44179"/>
    <w:rsid w:val="00C7150F"/>
    <w:rsid w:val="00C727BF"/>
    <w:rsid w:val="00C727E6"/>
    <w:rsid w:val="00C730CC"/>
    <w:rsid w:val="00CA7CBA"/>
    <w:rsid w:val="00CE021B"/>
    <w:rsid w:val="00D3550A"/>
    <w:rsid w:val="00E049DC"/>
    <w:rsid w:val="00E40324"/>
    <w:rsid w:val="00E47C74"/>
    <w:rsid w:val="00E570D5"/>
    <w:rsid w:val="00F071E3"/>
    <w:rsid w:val="00FA2D47"/>
    <w:rsid w:val="00FB4E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30AA37-0920-471E-8E3C-8D037BBCC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D17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7</Pages>
  <Words>1146</Words>
  <Characters>6309</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2025-04-13T11:30:00Z</dcterms:created>
  <dcterms:modified xsi:type="dcterms:W3CDTF">2025-04-13T18:10:00Z</dcterms:modified>
</cp:coreProperties>
</file>