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240" w:before="240" w:lineRule="auto"/>
        <w:jc w:val="both"/>
        <w:rPr/>
      </w:pPr>
      <w:bookmarkStart w:colFirst="0" w:colLast="0" w:name="_taitw98snttu" w:id="0"/>
      <w:bookmarkEnd w:id="0"/>
      <w:r w:rsidDel="00000000" w:rsidR="00000000" w:rsidRPr="00000000">
        <w:rPr>
          <w:rtl w:val="0"/>
        </w:rPr>
        <w:t xml:space="preserve">Alcance del proyecto</w:t>
      </w:r>
    </w:p>
    <w:p w:rsidR="00000000" w:rsidDel="00000000" w:rsidP="00000000" w:rsidRDefault="00000000" w:rsidRPr="00000000" w14:paraId="0000000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proyecto comprende el análisis y la organización del proceso de fabricación de champú artesanal a base de café y romero, en su presentación de 260 mililitros y bajo un sistema de producción por lotes. Se considera una planificación de 600 botellas mensuales, distribuidas en 12 lotes de 50 unidades.</w:t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alcance inicia con la recepción de materias primas y materiales de envasado y termina con el almacenamiento del producto terminado y aprobado. Dentro de estos límites se examinan la secuencia de operaciones, los recursos necesarios, los controles y los registros que permiten organizar la producción.</w:t>
      </w:r>
    </w:p>
    <w:p w:rsidR="00000000" w:rsidDel="00000000" w:rsidP="00000000" w:rsidRDefault="00000000" w:rsidRPr="00000000" w14:paraId="00000004">
      <w:pPr>
        <w:pStyle w:val="Heading2"/>
        <w:spacing w:after="240" w:before="240" w:lineRule="auto"/>
        <w:jc w:val="both"/>
        <w:rPr/>
      </w:pPr>
      <w:bookmarkStart w:colFirst="0" w:colLast="0" w:name="_qddwjjwiwxbz" w:id="1"/>
      <w:bookmarkEnd w:id="1"/>
      <w:r w:rsidDel="00000000" w:rsidR="00000000" w:rsidRPr="00000000">
        <w:rPr>
          <w:rtl w:val="0"/>
        </w:rPr>
        <w:t xml:space="preserve">1. Procesos incluidos</w:t>
      </w:r>
    </w:p>
    <w:tbl>
      <w:tblPr>
        <w:tblStyle w:val="Table1"/>
        <w:tblW w:w="9025.511811023624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760.917256756008"/>
        <w:gridCol w:w="6264.594554267615"/>
        <w:tblGridChange w:id="0">
          <w:tblGrid>
            <w:gridCol w:w="2760.917256756008"/>
            <w:gridCol w:w="6264.5945542676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Proceso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Actividades comprendidas y justificación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Planificación de la producción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Definición del tamaño y número de lotes, cálculo de materiales y programación de actividades. Permite relacionar la meta mensual con los recursos y tiempos disponibles.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Recepción y verificación de materiales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Revisión de cantidades, identificación, integridad y condiciones de las materias primas, botellas y tapas. Permite detectar materiales que no cumplan los requisitos antes de incorporarlos al proceso.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Almacenamiento de materias primas y envases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Organización, identificación y conservación de los materiales hasta su utilización. Incluye el registro de entradas y salidas para controlar su disponibilidad.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Preparación y dosificación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Acondicionamiento de los ingredientes conforme al procedimiento establecido y medición de las cantidades requeridas por lote. Busca mantener las proporciones de la formulación y reducir errores.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Elaboración de la mezcla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Organización de la secuencia de incorporación y procesamiento de los componentes. Comprende la identificación de equipos, responsables y condiciones de operación necesarias para obtener una mezcla uniforme.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Control de calidad del proceso y del producto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Definición de puntos de inspección, características por verificar y registros de resultados. Incluye la identificación y separación de producto no conforme para evitar que avance sin una evaluación.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Envasado y cierre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Llenado de las botellas, verificación del contenido y revisión del cierre. Permite controlar la cantidad entregada y la integridad de la presentación.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Etiquetado e identificación del lote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Colocación de etiquetas e identificación de cada preparación. Facilita relacionar el producto con su fecha de elaboración, materiales y responsables.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Almacenamiento del producto terminado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Registro, organización y conservación de las unidades aprobadas hasta su entrega al área de despacho. Constituye el límite final del proceso analizado.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Limpieza y acondicionamiento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Definición de actividades de limpieza de áreas, equipos y utensilios antes de iniciar y entre lotes. Forma parte de las condiciones necesarias para ejecutar la fabricación.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Registro de producción y mermas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Seguimiento de materiales consumidos, tiempos, unidades obtenidas y pérdidas. Permite evaluar el rendimiento y comprobar la viabilidad del programa de producción.</w:t>
            </w:r>
          </w:p>
        </w:tc>
      </w:tr>
    </w:tbl>
    <w:p w:rsidR="00000000" w:rsidDel="00000000" w:rsidP="00000000" w:rsidRDefault="00000000" w:rsidRPr="00000000" w14:paraId="0000001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En estos procesos también se considera la identificación de riesgos operativos básicos, las medidas de protección del personal y la separación de residuos generados durante la fabricación.</w:t>
      </w:r>
    </w:p>
    <w:p w:rsidR="00000000" w:rsidDel="00000000" w:rsidP="00000000" w:rsidRDefault="00000000" w:rsidRPr="00000000" w14:paraId="0000001E">
      <w:pPr>
        <w:pStyle w:val="Heading2"/>
        <w:spacing w:after="240" w:before="240" w:lineRule="auto"/>
        <w:jc w:val="both"/>
        <w:rPr/>
      </w:pPr>
      <w:bookmarkStart w:colFirst="0" w:colLast="0" w:name="_obt6i78acfcj" w:id="2"/>
      <w:bookmarkEnd w:id="2"/>
      <w:r w:rsidDel="00000000" w:rsidR="00000000" w:rsidRPr="00000000">
        <w:rPr>
          <w:rtl w:val="0"/>
        </w:rPr>
        <w:t xml:space="preserve">2. Procesos y actividades excluidos</w:t>
      </w:r>
    </w:p>
    <w:tbl>
      <w:tblPr>
        <w:tblStyle w:val="Table2"/>
        <w:tblW w:w="9025.511811023624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721.3582250157997"/>
        <w:gridCol w:w="6304.153586007824"/>
        <w:tblGridChange w:id="0">
          <w:tblGrid>
            <w:gridCol w:w="2721.3582250157997"/>
            <w:gridCol w:w="6304.15358600782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Proceso o 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Delimitación y justificación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Cultivo y procesamiento agrícola de los ingredientes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 excluyen la siembra, cosecha y transformación previa realizada por los proveedores. Los ingredientes ingresan al alcance en las condiciones de suministro especificadas.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Gestión comercial de proveedores y transporte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 se incluyen negociaciones, contratos ni organización del transporte hasta la empresa. Sí se determinan las necesidades de materiales y los requisitos de recepción.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Desarrollo y validación de la formulación cosmética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 excluyen la investigación de nuevas fórmulas y los ensayos de estabilidad, seguridad y eficacia. La organización de la fabricación requiere una formulación técnicamente definida; este análisis no sustituye su validación.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Diseño de marca y estrategia comercial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 se incluyen la elección del nombre, identidad visual, publicidad, precios ni estudios de mercado. El etiquetado se aborda como una operación de identificación dentro de la producción.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Distribución, ventas y atención al 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 excluyen el transporte del producto terminado, la gestión de pedidos, la venta y el servicio posterior. El alcance termina antes del despacho.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Evaluación financiera integral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 se desarrollan análisis de inversión, financiamiento, rentabilidad ni estados financieros. El cálculo de consumos y recursos se limita a las necesidades del proceso productivo.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Trámites legales, registros y certificaciones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 se incluye la gestión de permisos, registros sanitarios o certificaciones. Su exclusión del proyecto no elimina las obligaciones aplicables a la operación.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Construcción y ampliación de instalaciones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 excluyen obras civiles, diseño estructural y ejecución de ampliaciones. Puede analizarse la disposición básica de las áreas de trabajo para organizar el flujo de materiales.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Fabricación de otros productos o presentaciones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análisis se limita al champú de café y romero en botellas de 260 mililitros. No comprende otras formulaciones, tamaños ni líneas de productos.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Tratamiento externo de residuos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 incluye su separación y manejo dentro del área productiva, pero se excluyen el transporte, tratamiento y disposición realizados por terceros.</w:t>
            </w:r>
          </w:p>
        </w:tc>
      </w:tr>
    </w:tbl>
    <w:p w:rsidR="00000000" w:rsidDel="00000000" w:rsidP="00000000" w:rsidRDefault="00000000" w:rsidRPr="00000000" w14:paraId="00000035">
      <w:pPr>
        <w:pStyle w:val="Heading2"/>
        <w:spacing w:after="240" w:before="240" w:lineRule="auto"/>
        <w:jc w:val="both"/>
        <w:rPr/>
      </w:pPr>
      <w:bookmarkStart w:colFirst="0" w:colLast="0" w:name="_2wlkvjimhq5i" w:id="3"/>
      <w:bookmarkEnd w:id="3"/>
      <w:r w:rsidDel="00000000" w:rsidR="00000000" w:rsidRPr="00000000">
        <w:rPr>
          <w:rtl w:val="0"/>
        </w:rPr>
        <w:t xml:space="preserve">3. Resultados comprendidos en el alcance</w:t>
      </w:r>
    </w:p>
    <w:p w:rsidR="00000000" w:rsidDel="00000000" w:rsidP="00000000" w:rsidRDefault="00000000" w:rsidRPr="00000000" w14:paraId="0000003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proyecto contempla la descripción del proceso, su representación mediante un diagrama de flujo, la identificación de recursos y responsables, la organización de los lotes y la definición de controles y registros básicos. También comprende la identificación de posibles limitaciones de capacidad y oportunidades de mejora.</w:t>
      </w:r>
    </w:p>
    <w:p w:rsidR="00000000" w:rsidDel="00000000" w:rsidP="00000000" w:rsidRDefault="00000000" w:rsidRPr="00000000" w14:paraId="0000003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 meta de 600 botellas mensuales se utilizará como referencia para evaluar la organización propuesta. Su cumplimiento deberá contrastarse con los tiempos de operación, la capacidad útil de los equipos y el rendimiento del proceso.</w:t>
      </w:r>
    </w:p>
    <w:p w:rsidR="00000000" w:rsidDel="00000000" w:rsidP="00000000" w:rsidRDefault="00000000" w:rsidRPr="00000000" w14:paraId="00000038">
      <w:pPr>
        <w:jc w:val="both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