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SOC CASE 004 | EMAIL SECURITY TRIAGE</w:t>
      </w:r>
    </w:p>
    <w:p>
      <w:pPr>
        <w:pStyle w:val="Title"/>
      </w:pPr>
      <w:r>
        <w:t>Credential Phishing Investigation</w:t>
      </w:r>
    </w:p>
    <w:p>
      <w:r>
        <w:t>October 22, 2026  |  Classification: Credential phishing attempt (simulated)  |  Triage priority: High (scenario-based)</w:t>
      </w:r>
    </w:p>
    <w:p>
      <w:r>
        <w:rPr>
          <w:b/>
        </w:rPr>
        <w:t>EVIDENCE STATUS: SYNTHETIC TRAINING SAMPLE — not a real delivered message or confirmed compromise.</w:t>
      </w:r>
    </w:p>
    <w:p>
      <w:pPr>
        <w:pStyle w:val="Heading1"/>
      </w:pPr>
      <w:r>
        <w:t>Case intake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Case</w:t>
            </w:r>
          </w:p>
        </w:tc>
        <w:tc>
          <w:tcPr>
            <w:tcW w:type="dxa" w:w="4320"/>
          </w:tcPr>
          <w:p>
            <w:r>
              <w:t>LAB-004</w:t>
            </w:r>
          </w:p>
        </w:tc>
      </w:tr>
      <w:tr>
        <w:tc>
          <w:tcPr>
            <w:tcW w:type="dxa" w:w="4320"/>
          </w:tcPr>
          <w:p>
            <w:r>
              <w:t>Email subject</w:t>
            </w:r>
          </w:p>
        </w:tc>
        <w:tc>
          <w:tcPr>
            <w:tcW w:type="dxa" w:w="4320"/>
          </w:tcPr>
          <w:p>
            <w:r>
              <w:t>ACTION REQUIRED: Verify Your Account Before 5 PM</w:t>
            </w:r>
          </w:p>
        </w:tc>
      </w:tr>
      <w:tr>
        <w:tc>
          <w:tcPr>
            <w:tcW w:type="dxa" w:w="4320"/>
          </w:tcPr>
          <w:p>
            <w:r>
              <w:t>Claimed sender</w:t>
            </w:r>
          </w:p>
        </w:tc>
        <w:tc>
          <w:tcPr>
            <w:tcW w:type="dxa" w:w="4320"/>
          </w:tcPr>
          <w:p>
            <w:r>
              <w:t>IT Support &lt;helpdesk@company.example&gt;</w:t>
            </w:r>
          </w:p>
        </w:tc>
      </w:tr>
      <w:tr>
        <w:tc>
          <w:tcPr>
            <w:tcW w:type="dxa" w:w="4320"/>
          </w:tcPr>
          <w:p>
            <w:r>
              <w:t>Recipient</w:t>
            </w:r>
          </w:p>
        </w:tc>
        <w:tc>
          <w:tcPr>
            <w:tcW w:type="dxa" w:w="4320"/>
          </w:tcPr>
          <w:p>
            <w:r>
              <w:t>employee@company.example</w:t>
            </w:r>
          </w:p>
        </w:tc>
      </w:tr>
      <w:tr>
        <w:tc>
          <w:tcPr>
            <w:tcW w:type="dxa" w:w="4320"/>
          </w:tcPr>
          <w:p>
            <w:r>
              <w:t>Message date</w:t>
            </w:r>
          </w:p>
        </w:tc>
        <w:tc>
          <w:tcPr>
            <w:tcW w:type="dxa" w:w="4320"/>
          </w:tcPr>
          <w:p>
            <w:r>
              <w:t>2026-10-22 14:24:30 -0500 (header value)</w:t>
            </w:r>
          </w:p>
        </w:tc>
      </w:tr>
      <w:tr>
        <w:tc>
          <w:tcPr>
            <w:tcW w:type="dxa" w:w="4320"/>
          </w:tcPr>
          <w:p>
            <w:r>
              <w:t>Received timestamp</w:t>
            </w:r>
          </w:p>
        </w:tc>
        <w:tc>
          <w:tcPr>
            <w:tcW w:type="dxa" w:w="4320"/>
          </w:tcPr>
          <w:p>
            <w:r>
              <w:t>2026-10-22 14:25:10 -0500 (fabricated Received header)</w:t>
            </w:r>
          </w:p>
        </w:tc>
      </w:tr>
      <w:tr>
        <w:tc>
          <w:tcPr>
            <w:tcW w:type="dxa" w:w="4320"/>
          </w:tcPr>
          <w:p>
            <w:r>
              <w:t>Evidence source</w:t>
            </w:r>
          </w:p>
        </w:tc>
        <w:tc>
          <w:tcPr>
            <w:tcW w:type="dxa" w:w="4320"/>
          </w:tcPr>
          <w:p>
            <w:r>
              <w:t>Lab_004_Simulated_Phishing_Email.eml, viewed as plain text on macOS</w:t>
            </w:r>
          </w:p>
        </w:tc>
      </w:tr>
      <w:tr>
        <w:tc>
          <w:tcPr>
            <w:tcW w:type="dxa" w:w="4320"/>
          </w:tcPr>
          <w:p>
            <w:r>
              <w:t>Attachments</w:t>
            </w:r>
          </w:p>
        </w:tc>
        <w:tc>
          <w:tcPr>
            <w:tcW w:type="dxa" w:w="4320"/>
          </w:tcPr>
          <w:p>
            <w:r>
              <w:t>No MIME attachment indicated in supplied sample</w:t>
            </w:r>
          </w:p>
        </w:tc>
      </w:tr>
      <w:tr>
        <w:tc>
          <w:tcPr>
            <w:tcW w:type="dxa" w:w="4320"/>
          </w:tcPr>
          <w:p>
            <w:r>
              <w:t>Final disposition</w:t>
            </w:r>
          </w:p>
        </w:tc>
        <w:tc>
          <w:tcPr>
            <w:tcW w:type="dxa" w:w="4320"/>
          </w:tcPr>
          <w:p>
            <w:r>
              <w:t>Simulated credential-phishing attempt; no evidence of click or compromise</w:t>
            </w:r>
          </w:p>
        </w:tc>
      </w:tr>
    </w:tbl>
    <w:p>
      <w:pPr>
        <w:pStyle w:val="Heading1"/>
      </w:pPr>
      <w:r>
        <w:t>Executive assessment</w:t>
      </w:r>
    </w:p>
    <w:p>
      <w:r>
        <w:t>A message presenting itself as corporate IT support requests urgent password verification and threatens same-day account suspension. The visible From address differs from the envelope sender and Reply-To domain. The message contains a purported authentication result of SPF fail, DKIM none and DMARC fail, and a verification URL on an unrelated example.invalid domain. Taken together, these features support classifying the fabricated message as a credential-phishing attempt. None of the listed domains or addresses establish real malicious infrastructure; no credential theft or user interaction was observed.</w:t>
      </w:r>
    </w:p>
    <w:p>
      <w:pPr>
        <w:pStyle w:val="Heading1"/>
      </w:pPr>
      <w:r>
        <w:t>Evidence and indicators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Visible From</w:t>
            </w:r>
          </w:p>
        </w:tc>
        <w:tc>
          <w:tcPr>
            <w:tcW w:type="dxa" w:w="2880"/>
          </w:tcPr>
          <w:p>
            <w:r>
              <w:t>helpdesk@company.example</w:t>
            </w:r>
          </w:p>
        </w:tc>
        <w:tc>
          <w:tcPr>
            <w:tcW w:type="dxa" w:w="2880"/>
          </w:tcPr>
          <w:p>
            <w:r>
              <w:t>Claims corporate IT identity</w:t>
            </w:r>
          </w:p>
        </w:tc>
      </w:tr>
      <w:tr>
        <w:tc>
          <w:tcPr>
            <w:tcW w:type="dxa" w:w="2880"/>
          </w:tcPr>
          <w:p>
            <w:r>
              <w:t>Return-Path</w:t>
            </w:r>
          </w:p>
        </w:tc>
        <w:tc>
          <w:tcPr>
            <w:tcW w:type="dxa" w:w="2880"/>
          </w:tcPr>
          <w:p>
            <w:r>
              <w:t>billing@accounts.example.invalid</w:t>
            </w:r>
          </w:p>
        </w:tc>
        <w:tc>
          <w:tcPr>
            <w:tcW w:type="dxa" w:w="2880"/>
          </w:tcPr>
          <w:p>
            <w:r>
              <w:t>Different sending domain</w:t>
            </w:r>
          </w:p>
        </w:tc>
      </w:tr>
      <w:tr>
        <w:tc>
          <w:tcPr>
            <w:tcW w:type="dxa" w:w="2880"/>
          </w:tcPr>
          <w:p>
            <w:r>
              <w:t>Reply-To</w:t>
            </w:r>
          </w:p>
        </w:tc>
        <w:tc>
          <w:tcPr>
            <w:tcW w:type="dxa" w:w="2880"/>
          </w:tcPr>
          <w:p>
            <w:r>
              <w:t>support@accounts.example.invalid</w:t>
            </w:r>
          </w:p>
        </w:tc>
        <w:tc>
          <w:tcPr>
            <w:tcW w:type="dxa" w:w="2880"/>
          </w:tcPr>
          <w:p>
            <w:r>
              <w:t>Replies routed outside claimed domain</w:t>
            </w:r>
          </w:p>
        </w:tc>
      </w:tr>
      <w:tr>
        <w:tc>
          <w:tcPr>
            <w:tcW w:type="dxa" w:w="2880"/>
          </w:tcPr>
          <w:p>
            <w:r>
              <w:t>Received IP</w:t>
            </w:r>
          </w:p>
        </w:tc>
        <w:tc>
          <w:tcPr>
            <w:tcW w:type="dxa" w:w="2880"/>
          </w:tcPr>
          <w:p>
            <w:r>
              <w:t>192.0.2.84</w:t>
            </w:r>
          </w:p>
        </w:tc>
        <w:tc>
          <w:tcPr>
            <w:tcW w:type="dxa" w:w="2880"/>
          </w:tcPr>
          <w:p>
            <w:r>
              <w:t>TEST-NET-1 documentation IP; not a live IOC</w:t>
            </w:r>
          </w:p>
        </w:tc>
      </w:tr>
      <w:tr>
        <w:tc>
          <w:tcPr>
            <w:tcW w:type="dxa" w:w="2880"/>
          </w:tcPr>
          <w:p>
            <w:r>
              <w:t>Message-ID</w:t>
            </w:r>
          </w:p>
        </w:tc>
        <w:tc>
          <w:tcPr>
            <w:tcW w:type="dxa" w:w="2880"/>
          </w:tcPr>
          <w:p>
            <w:r>
              <w:t>training-lab004-001@accounts.example.invalid</w:t>
            </w:r>
          </w:p>
        </w:tc>
        <w:tc>
          <w:tcPr>
            <w:tcW w:type="dxa" w:w="2880"/>
          </w:tcPr>
          <w:p>
            <w:r>
              <w:t>Training identifier for correlation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https://login-security.example.invalid/verify</w:t>
            </w:r>
          </w:p>
        </w:tc>
        <w:tc>
          <w:tcPr>
            <w:tcW w:type="dxa" w:w="2880"/>
          </w:tcPr>
          <w:p>
            <w:r>
              <w:t>Simulated password-verification destination, not visited</w:t>
            </w:r>
          </w:p>
        </w:tc>
      </w:tr>
      <w:tr>
        <w:tc>
          <w:tcPr>
            <w:tcW w:type="dxa" w:w="2880"/>
          </w:tcPr>
          <w:p>
            <w:r>
              <w:t>SPF / DKIM / DMARC</w:t>
            </w:r>
          </w:p>
        </w:tc>
        <w:tc>
          <w:tcPr>
            <w:tcW w:type="dxa" w:w="2880"/>
          </w:tcPr>
          <w:p>
            <w:r>
              <w:t>fail / none / fail</w:t>
            </w:r>
          </w:p>
        </w:tc>
        <w:tc>
          <w:tcPr>
            <w:tcW w:type="dxa" w:w="2880"/>
          </w:tcPr>
          <w:p>
            <w:r>
              <w:t>Fabricated header result, not independently authenticated</w:t>
            </w:r>
          </w:p>
        </w:tc>
      </w:tr>
    </w:tbl>
    <w:p>
      <w:pPr>
        <w:pStyle w:val="Heading1"/>
      </w:pPr>
      <w:r>
        <w:t>Header authentication interpretation</w:t>
      </w:r>
    </w:p>
    <w:p>
      <w:r>
        <w:t>Authentication-Results claims SPF=fail for smtp.mailfrom=accounts.example.invalid; DKIM=none; DMARC=fail for header.from=company.example. These values were authored into the sample and were not verified by a real receiving mail server. SPF applies to the envelope domain and DKIM to signed domains; DMARC concerns domain alignment and authentication. None of the three fields alone conclusively establishes a phishing attempt.</w:t>
      </w:r>
    </w:p>
    <w:p>
      <w:pPr>
        <w:pStyle w:val="Heading1"/>
      </w:pPr>
      <w:r>
        <w:t>Analyst reasoning and confidence</w:t>
      </w:r>
    </w:p>
    <w:p>
      <w:r>
        <w:t>Evidence: account-suspension urgency, password-verification request, inconsistent sender identity, unrelated verification URL, and fabricated authentication failures. Verdict confidence: high that the example was constructed to represent credential phishing; real-world attack attribution and impact: not assessable. An .invalid URL and a 192.0.2.0/24 IP are reserved training values, not active threat indicators.</w:t>
      </w:r>
    </w:p>
    <w:p>
      <w:pPr>
        <w:pStyle w:val="Heading1"/>
      </w:pPr>
      <w:r>
        <w:t>Recommended SOC response (hypothetical production case)</w:t>
      </w:r>
    </w:p>
    <w:p>
      <w:pPr>
        <w:pStyle w:val="ListBullet"/>
      </w:pPr>
      <w:r>
        <w:t>Preserve original email with full headers and case metadata; maintain evidence integrity and chain-of-custody notes.</w:t>
      </w:r>
    </w:p>
    <w:p>
      <w:pPr>
        <w:pStyle w:val="ListBullet"/>
      </w:pPr>
      <w:r>
        <w:t>Validate authentication results in the receiving mail platform, including SPF, DKIM signatures, DMARC alignment, and sending infrastructure.</w:t>
      </w:r>
    </w:p>
    <w:p>
      <w:pPr>
        <w:pStyle w:val="ListBullet"/>
      </w:pPr>
      <w:r>
        <w:t>Review URL as text, use approved sandbox or URL analysis systems under organizational policy, and avoid entering credentials.</w:t>
      </w:r>
    </w:p>
    <w:p>
      <w:pPr>
        <w:pStyle w:val="ListBullet"/>
      </w:pPr>
      <w:r>
        <w:t>Search mail telemetry for additional recipients and similar subject lines, sender artifacts, and message identifiers; assess delivery and user interaction.</w:t>
      </w:r>
    </w:p>
    <w:p>
      <w:pPr>
        <w:pStyle w:val="ListBullet"/>
      </w:pPr>
      <w:r>
        <w:t>If corroborated, quarantine or remove messages; block confirmed malicious domains or senders according to policy.</w:t>
      </w:r>
    </w:p>
    <w:p>
      <w:pPr>
        <w:pStyle w:val="ListBullet"/>
      </w:pPr>
      <w:r>
        <w:t>If a recipient submitted credentials, initiate account response per playbook: password reset, session revocation, MFA review, and identity-log investigation.</w:t>
      </w:r>
    </w:p>
    <w:p>
      <w:pPr>
        <w:pStyle w:val="ListBullet"/>
      </w:pPr>
      <w:r>
        <w:t>Escalate to Tier 2 or incident response when impact, campaign scope, or account compromise is supported by evidence.</w:t>
      </w:r>
    </w:p>
    <w:p>
      <w:pPr>
        <w:pStyle w:val="Heading1"/>
      </w:pPr>
      <w:r>
        <w:t>Actions performed and limitations</w:t>
      </w:r>
    </w:p>
    <w:p>
      <w:r>
        <w:t>Performed: static review of .eml headers, message body, sender and Reply-To comparison, safe URL structure analysis, evidence screenshot capture, and IOC table preparation. Not performed: live DNS lookups, URL visits, attachment execution, delivery tracing, mail-server authentication, response or containment. The exercise contains no verified malicious domain, payload, user click, credential disclosure, or compromised endpoint.</w:t>
      </w:r>
    </w:p>
    <w:p>
      <w:pPr>
        <w:pStyle w:val="Heading1"/>
      </w:pPr>
      <w:r>
        <w:t>Evidence index</w:t>
      </w:r>
    </w:p>
    <w:p>
      <w:pPr>
        <w:pStyle w:val="ListBullet"/>
      </w:pPr>
      <w:r>
        <w:t>evidence/Lab_004_Simulated_Phishing_Email.eml — original simulated message</w:t>
      </w:r>
    </w:p>
    <w:p>
      <w:pPr>
        <w:pStyle w:val="ListBullet"/>
      </w:pPr>
      <w:r>
        <w:t>screenshots/01_Raw_Email_Headers.png — full raw message</w:t>
      </w:r>
    </w:p>
    <w:p>
      <w:pPr>
        <w:pStyle w:val="ListBullet"/>
      </w:pPr>
      <w:r>
        <w:t>screenshots/02_Suspicious_URL_Analysis.png — highlighted URL</w:t>
      </w:r>
    </w:p>
    <w:p>
      <w:pPr>
        <w:pStyle w:val="ListBullet"/>
      </w:pPr>
      <w:r>
        <w:t>screenshots/03_Email_Authentication_Analysis.png — highlighted fabricated authentication results</w:t>
      </w:r>
    </w:p>
    <w:p>
      <w:r>
        <w:t>Analyst conclusion: Classify this synthetic email as a credential-phishing attempt. Recommend preservation, verification, scoping and escalation in a comparable real production case; do not infer actual compromise from this training sample.</w:t>
      </w:r>
    </w:p>
    <w:sectPr w:rsidR="00FC693F" w:rsidRPr="0006063C" w:rsidSect="00034616">
      <w:pgSz w:w="12240" w:h="15840"/>
      <w:pgMar w:top="749" w:right="1800" w:bottom="720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365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